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537C32">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537C32">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537C32">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537C32">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537C32">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537C32">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537C32">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537C32">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537C32">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537C32">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537C32">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537C32">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537C32">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537C32">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537C32">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537C32">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RPr="00D37A2E" w:rsidTr="00CD58D4">
        <w:tc>
          <w:tcPr>
            <w:tcW w:w="9500" w:type="dxa"/>
          </w:tcPr>
          <w:p w:rsidR="00CD58D4" w:rsidRDefault="00CD58D4" w:rsidP="008A558C">
            <w:pPr>
              <w:rPr>
                <w:lang w:val="pl-PL"/>
              </w:rPr>
            </w:pP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p>
    <w:p w:rsidR="00753519" w:rsidRDefault="00753519" w:rsidP="00753519">
      <w:pPr>
        <w:pStyle w:val="Akapitzlist"/>
        <w:numPr>
          <w:ilvl w:val="0"/>
          <w:numId w:val="17"/>
        </w:numPr>
        <w:rPr>
          <w:lang w:val="pl-PL"/>
        </w:rPr>
      </w:pPr>
      <w:r>
        <w:rPr>
          <w:lang w:val="pl-PL"/>
        </w:rPr>
        <w:t>przestrzeń na podstawę elektroniczną:</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RPr="00D37A2E" w:rsidTr="004B6F53">
        <w:tc>
          <w:tcPr>
            <w:tcW w:w="9500" w:type="dxa"/>
          </w:tcPr>
          <w:p w:rsidR="004B6F53" w:rsidRDefault="004B6F53" w:rsidP="00AF7B1E">
            <w:pPr>
              <w:rPr>
                <w:lang w:val="pl-PL"/>
              </w:rPr>
            </w:pPr>
          </w:p>
        </w:tc>
      </w:tr>
      <w:tr w:rsidR="004B6F53" w:rsidTr="004B6F53">
        <w:tc>
          <w:tcPr>
            <w:tcW w:w="9500" w:type="dxa"/>
          </w:tcPr>
          <w:p w:rsidR="004B6F53" w:rsidRDefault="004B6F53" w:rsidP="004B6F53">
            <w:pPr>
              <w:jc w:val="center"/>
              <w:rPr>
                <w:lang w:val="pl-PL"/>
              </w:rPr>
            </w:pPr>
            <w:r>
              <w:rPr>
                <w:noProof/>
                <w:lang w:val="pl-PL" w:eastAsia="pl-PL"/>
              </w:rPr>
              <w:drawing>
                <wp:inline distT="0" distB="0" distL="0" distR="0">
                  <wp:extent cx="1798413" cy="1053548"/>
                  <wp:effectExtent l="19050" t="0" r="0" b="0"/>
                  <wp:docPr id="14" name="Obraz 2" descr="C:\Users\Kornel\Desktop\pracka\sil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silnik.jpg"/>
                          <pic:cNvPicPr>
                            <a:picLocks noChangeAspect="1" noChangeArrowheads="1"/>
                          </pic:cNvPicPr>
                        </pic:nvPicPr>
                        <pic:blipFill>
                          <a:blip r:embed="rId9"/>
                          <a:srcRect/>
                          <a:stretch>
                            <a:fillRect/>
                          </a:stretch>
                        </pic:blipFill>
                        <pic:spPr bwMode="auto">
                          <a:xfrm>
                            <a:off x="0" y="0"/>
                            <a:ext cx="1799209" cy="1054014"/>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lastRenderedPageBreak/>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P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p>
    <w:p w:rsidR="00AB6B7D" w:rsidRDefault="002179DF">
      <w:pPr>
        <w:pStyle w:val="Nagwek2"/>
        <w:numPr>
          <w:ilvl w:val="2"/>
          <w:numId w:val="1"/>
        </w:numPr>
        <w:rPr>
          <w:lang w:val="pl-PL"/>
        </w:rPr>
      </w:pPr>
      <w:bookmarkStart w:id="7" w:name="_Toc436583501"/>
      <w:bookmarkEnd w:id="7"/>
      <w:r>
        <w:rPr>
          <w:lang w:val="pl-PL"/>
        </w:rPr>
        <w:t xml:space="preserve">Bazowy obwód </w:t>
      </w:r>
    </w:p>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t>Moduł Bluetooth – HC-06</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Default="00AD0FC5" w:rsidP="00AD0FC5">
      <w:pPr>
        <w:pStyle w:val="Nagwek2"/>
        <w:rPr>
          <w:lang w:val="pl-PL"/>
        </w:rPr>
      </w:pP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0"/>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393771" w:rsidRDefault="008C3A8B" w:rsidP="008C3A8B">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Podstawowa </w:t>
      </w:r>
    </w:p>
    <w:p w:rsidR="008C3A8B" w:rsidRDefault="008C3A8B" w:rsidP="00393771">
      <w:pPr>
        <w:pStyle w:val="Nagwek2"/>
        <w:ind w:left="750"/>
        <w:rPr>
          <w:lang w:val="pl-PL"/>
        </w:rPr>
      </w:pP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1"/>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2"/>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3"/>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Default="002179DF" w:rsidP="00C96A3A">
      <w:pPr>
        <w:pStyle w:val="Tretekstu"/>
        <w:rPr>
          <w:rFonts w:ascii="Arial" w:hAnsi="Arial" w:cs="Arial"/>
          <w:iCs/>
          <w:color w:val="252525"/>
          <w:sz w:val="21"/>
          <w:szCs w:val="21"/>
          <w:shd w:val="clear" w:color="auto" w:fill="FFFFFF"/>
        </w:rPr>
      </w:pPr>
      <w:r>
        <w:t>Komunikacja Bluetooth wykorzystuje obsługę dwóch komponentów mikrokontrolera, interfejsu szeregowo UART oraz technika DMA. UART (</w:t>
      </w:r>
      <w:r>
        <w:rPr>
          <w:rFonts w:cs="Arial"/>
          <w:i/>
          <w:iCs/>
          <w:color w:val="252525"/>
          <w:shd w:val="clear" w:color="auto" w:fill="FFFFFF"/>
        </w:rPr>
        <w:t xml:space="preserve">Universal Asynchronous Receiver and Transmitter) </w:t>
      </w:r>
      <w:r>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w:t>
      </w:r>
      <w:r>
        <w:rPr>
          <w:rFonts w:ascii="Arial" w:hAnsi="Arial" w:cs="Arial"/>
          <w:iCs/>
          <w:color w:val="252525"/>
          <w:sz w:val="21"/>
          <w:szCs w:val="21"/>
          <w:shd w:val="clear" w:color="auto" w:fill="FFFFFF"/>
        </w:rPr>
        <w:t xml:space="preserv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lastRenderedPageBreak/>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 xml:space="preserve">eliminowany jest przez konstrukcję protokołu komunikacyjnego z aplikacją sterującą. Zgodnie z nim, aplikacja nie wysyła, następnej </w:t>
      </w:r>
      <w:r w:rsidR="00B01BAB">
        <w:lastRenderedPageBreak/>
        <w:t>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odometrii</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lastRenderedPageBreak/>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4"/>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537C32">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przybliżenia jest tym większa, im mniejszy jest okres T. Projekt zakładał wyzwalanie procedury regulacji prędkości poprzez timer, którego interwał ustalany jest wiadomością kontrolną przez użytkownika. Podobnie jak w przypadku aktual</w:t>
      </w:r>
      <w:r w:rsidR="00D37A2E">
        <w:rPr>
          <w:lang w:val="pl-PL"/>
        </w:rPr>
        <w:t>izacji prędkości, kosztem poniesionym za swobodę ustawień jest bezpieczeństwo działania układu regulacji. Wartością nominalną timera regulacji jest 150[ms] co jest jednocześnie okresem dyskretyzacji członu różniczkującego. Pomimo, że aproksymacja w te sposób w znaczny sposób od różniczkowania w dziedzinie ciągłej, wykorzystałem to rozwiązanie ze względu na łatwość implementacji oraz jakość regulacji na oczekiwanym poziomie.</w:t>
      </w:r>
    </w:p>
    <w:tbl>
      <w:tblPr>
        <w:tblStyle w:val="Tabela-Siatka"/>
        <w:tblW w:w="0" w:type="auto"/>
        <w:tblLook w:val="04A0"/>
      </w:tblPr>
      <w:tblGrid>
        <w:gridCol w:w="1101"/>
        <w:gridCol w:w="8164"/>
        <w:gridCol w:w="236"/>
      </w:tblGrid>
      <w:tr w:rsidR="00AB6B7D" w:rsidTr="00007C50">
        <w:trPr>
          <w:trHeight w:val="52"/>
        </w:trPr>
        <w:tc>
          <w:tcPr>
            <w:tcW w:w="1101" w:type="dxa"/>
          </w:tcPr>
          <w:p w:rsidR="00AB6B7D" w:rsidRDefault="00AB6B7D">
            <w:pPr>
              <w:spacing w:after="0"/>
              <w:rPr>
                <w:lang w:val="pl-PL"/>
              </w:rPr>
            </w:pPr>
          </w:p>
        </w:tc>
        <w:tc>
          <w:tcPr>
            <w:tcW w:w="8164" w:type="dxa"/>
          </w:tcPr>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 xml:space="preserve"> </w:t>
            </w:r>
            <w:r w:rsidRPr="00D37A2E">
              <w:rPr>
                <w:rFonts w:ascii="Consolas" w:eastAsia="Times New Roman" w:hAnsi="Consolas" w:cs="Consolas"/>
                <w:color w:val="795DA3"/>
                <w:sz w:val="18"/>
                <w:lang w:eastAsia="pl-PL"/>
              </w:rPr>
              <w:t>regulation</w:t>
            </w:r>
            <w:r w:rsidRPr="00D37A2E">
              <w:rPr>
                <w:rFonts w:ascii="Consolas" w:eastAsia="Times New Roman" w:hAnsi="Consolas" w:cs="Consolas"/>
                <w:color w:val="333333"/>
                <w:sz w:val="18"/>
                <w:szCs w:val="18"/>
                <w:lang w:eastAsia="pl-PL"/>
              </w:rPr>
              <w:t>(</w:t>
            </w: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w:t>
            </w:r>
          </w:p>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r w:rsidR="00D37A2E">
              <w:rPr>
                <w:rFonts w:ascii="Consolas" w:eastAsia="Times New Roman" w:hAnsi="Consolas" w:cs="Consolas"/>
                <w:color w:val="333333"/>
                <w:sz w:val="18"/>
                <w:szCs w:val="18"/>
                <w:lang w:eastAsia="pl-PL"/>
              </w:rPr>
              <w:t xml:space="preserve"> /  (</w:t>
            </w:r>
            <w:r w:rsidR="00D37A2E">
              <w:rPr>
                <w:rFonts w:ascii="Consolas" w:hAnsi="Consolas" w:cs="Consolas"/>
                <w:color w:val="795DA3"/>
                <w:sz w:val="18"/>
                <w:szCs w:val="18"/>
                <w:shd w:val="clear" w:color="auto" w:fill="FFFFFF"/>
              </w:rPr>
              <w:t>getTimerTimeout(</w:t>
            </w:r>
            <w:r w:rsidR="00D37A2E">
              <w:rPr>
                <w:rFonts w:ascii="Consolas" w:hAnsi="Consolas" w:cs="Consolas"/>
                <w:color w:val="333333"/>
                <w:sz w:val="18"/>
                <w:szCs w:val="18"/>
                <w:shd w:val="clear" w:color="auto" w:fill="FFFFFF"/>
              </w:rPr>
              <w:t>&amp;htim10) * 0.0001)</w:t>
            </w:r>
            <w:r w:rsidR="00D37A2E">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A8738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8738D" w:rsidRDefault="00A8738D">
            <w:pPr>
              <w:spacing w:after="0"/>
              <w:rPr>
                <w:rFonts w:ascii="Consolas" w:eastAsia="Times New Roman" w:hAnsi="Consolas" w:cs="Consolas"/>
                <w:color w:val="333333"/>
                <w:sz w:val="18"/>
                <w:szCs w:val="18"/>
                <w:lang w:eastAsia="pl-PL"/>
              </w:rPr>
            </w:pPr>
          </w:p>
        </w:tc>
        <w:tc>
          <w:tcPr>
            <w:tcW w:w="236" w:type="dxa"/>
          </w:tcPr>
          <w:p w:rsidR="00AB6B7D" w:rsidRDefault="00AB6B7D">
            <w:pPr>
              <w:spacing w:after="0"/>
              <w:rPr>
                <w:lang w:val="pl-PL"/>
              </w:rPr>
            </w:pPr>
          </w:p>
        </w:tc>
      </w:tr>
    </w:tbl>
    <w:p w:rsidR="00007C50" w:rsidRDefault="00007C50" w:rsidP="00007C50">
      <w:pPr>
        <w:rPr>
          <w:lang w:val="pl-PL"/>
        </w:rPr>
      </w:pPr>
      <w:bookmarkStart w:id="18" w:name="_Toc436583512"/>
      <w:bookmarkEnd w:id="18"/>
      <w:r>
        <w:rPr>
          <w:lang w:val="pl-PL"/>
        </w:rPr>
        <w:lastRenderedPageBreak/>
        <w:t xml:space="preserve">Algortm regulacji zaimplementowany została według wyżej wymienionego sposobu. Okres dyskretyzacji członu różniczkującego przeskalowany został do sekund. </w:t>
      </w:r>
    </w:p>
    <w:p w:rsidR="00007C50" w:rsidRDefault="00007C50" w:rsidP="00007C50">
      <w:pPr>
        <w:rPr>
          <w:lang w:val="pl-PL"/>
        </w:rPr>
      </w:pPr>
      <w:r>
        <w:rPr>
          <w:lang w:val="pl-PL"/>
        </w:rPr>
        <w:t xml:space="preserve">Warto jeszcze zobaczyć rozwiązanie </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tbl>
      <w:tblPr>
        <w:tblStyle w:val="Tabela-Siatka"/>
        <w:tblW w:w="0" w:type="auto"/>
        <w:tblLook w:val="04A0"/>
      </w:tblPr>
      <w:tblGrid>
        <w:gridCol w:w="9500"/>
      </w:tblGrid>
      <w:tr w:rsidR="00451E39" w:rsidRPr="00D37A2E" w:rsidTr="00451E39">
        <w:tc>
          <w:tcPr>
            <w:tcW w:w="9500" w:type="dxa"/>
          </w:tcPr>
          <w:p w:rsidR="00451E39" w:rsidRDefault="00451E39">
            <w:pPr>
              <w:rPr>
                <w:lang w:val="pl-PL"/>
              </w:rPr>
            </w:pPr>
          </w:p>
        </w:tc>
      </w:tr>
      <w:tr w:rsidR="00451E39" w:rsidRPr="00D37A2E" w:rsidTr="00451E39">
        <w:tc>
          <w:tcPr>
            <w:tcW w:w="9500" w:type="dxa"/>
          </w:tcPr>
          <w:p w:rsidR="00451E39" w:rsidRDefault="00451E39">
            <w:pPr>
              <w:rPr>
                <w:lang w:val="pl-PL"/>
              </w:rPr>
            </w:pPr>
          </w:p>
        </w:tc>
      </w:tr>
    </w:tbl>
    <w:p w:rsidR="00451E39" w:rsidRDefault="00451E39">
      <w:pPr>
        <w:ind w:firstLine="360"/>
        <w:rPr>
          <w:lang w:val="pl-PL"/>
        </w:rPr>
      </w:pP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tbl>
      <w:tblPr>
        <w:tblW w:w="0" w:type="auto"/>
        <w:tblBorders>
          <w:top w:val="nil"/>
          <w:left w:val="nil"/>
          <w:bottom w:val="nil"/>
          <w:right w:val="nil"/>
          <w:insideH w:val="nil"/>
          <w:insideV w:val="nil"/>
        </w:tblBorders>
        <w:tblLook w:val="04A0"/>
      </w:tblPr>
      <w:tblGrid>
        <w:gridCol w:w="235"/>
        <w:gridCol w:w="9085"/>
        <w:gridCol w:w="238"/>
      </w:tblGrid>
      <w:tr w:rsidR="00AB6B7D">
        <w:trPr>
          <w:cantSplit/>
        </w:trPr>
        <w:tc>
          <w:tcPr>
            <w:tcW w:w="235" w:type="dxa"/>
            <w:tcBorders>
              <w:top w:val="nil"/>
              <w:left w:val="nil"/>
              <w:bottom w:val="nil"/>
              <w:right w:val="nil"/>
            </w:tcBorders>
            <w:shd w:val="clear" w:color="auto" w:fill="auto"/>
          </w:tcPr>
          <w:p w:rsidR="00AB6B7D" w:rsidRDefault="00AB6B7D">
            <w:pPr>
              <w:spacing w:after="0"/>
              <w:rPr>
                <w:lang w:val="pl-PL"/>
              </w:rPr>
            </w:pPr>
          </w:p>
        </w:tc>
        <w:tc>
          <w:tcPr>
            <w:tcW w:w="9085" w:type="dxa"/>
            <w:tcBorders>
              <w:top w:val="nil"/>
              <w:left w:val="nil"/>
              <w:bottom w:val="nil"/>
              <w:right w:val="nil"/>
            </w:tcBorders>
            <w:shd w:val="clear" w:color="auto" w:fill="auto"/>
          </w:tcPr>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interface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szCs w:val="18"/>
                <w:lang w:eastAsia="pl-PL"/>
              </w:rPr>
              <w:t>IBluethooth</w:t>
            </w:r>
            <w:r>
              <w:rPr>
                <w:rFonts w:ascii="Consolas" w:eastAsia="Times New Roman" w:hAnsi="Consolas" w:cs="Consolas"/>
                <w:color w:val="333333"/>
                <w:sz w:val="18"/>
                <w:szCs w:val="18"/>
                <w:lang w:eastAsia="pl-PL"/>
              </w:rPr>
              <w:t xml:space="preserve"> {</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setVelocity</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rotation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getVelocity</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setConfig</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P, </w:t>
            </w:r>
            <w:r>
              <w:rPr>
                <w:rFonts w:ascii="Consolas" w:eastAsia="Times New Roman" w:hAnsi="Consolas" w:cs="Consolas"/>
                <w:color w:val="A71D5D"/>
                <w:sz w:val="18"/>
                <w:szCs w:val="18"/>
                <w:lang w:eastAsia="pl-PL"/>
              </w:rPr>
              <w:t>double</w:t>
            </w:r>
            <w:r>
              <w:rPr>
                <w:rFonts w:ascii="Consolas" w:eastAsia="Times New Roman" w:hAnsi="Consolas" w:cs="Consolas"/>
                <w:color w:val="333333"/>
                <w:sz w:val="18"/>
                <w:szCs w:val="18"/>
                <w:lang w:eastAsia="pl-PL"/>
              </w:rPr>
              <w:t xml:space="preserve"> D)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getConfig</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setTimeout</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getTimeout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setPWM</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left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right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getPWM</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setEncoderMeas</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getEncoderMeas</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setRegulationTimer</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int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time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getRegulationTimer</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setMotorDirection</w:t>
            </w:r>
            <w:r>
              <w:rPr>
                <w:rFonts w:ascii="Consolas" w:eastAsia="Times New Roman" w:hAnsi="Consolas" w:cs="Consolas"/>
                <w:color w:val="333333"/>
                <w:sz w:val="18"/>
                <w:szCs w:val="18"/>
                <w:lang w:eastAsia="pl-PL"/>
              </w:rPr>
              <w:t>(</w:t>
            </w:r>
            <w:r>
              <w:rPr>
                <w:rFonts w:ascii="Consolas" w:eastAsia="Times New Roman" w:hAnsi="Consolas" w:cs="Consolas"/>
                <w:color w:val="A71D5D"/>
                <w:sz w:val="18"/>
                <w:szCs w:val="18"/>
                <w:lang w:eastAsia="pl-PL"/>
              </w:rPr>
              <w:t>byte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szCs w:val="18"/>
                <w:lang w:eastAsia="pl-PL"/>
              </w:rPr>
              <w:t>bitmap</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getMotorDirection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line="228"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szCs w:val="18"/>
                <w:lang w:eastAsia="pl-PL"/>
              </w:rPr>
              <w:t>public</w:t>
            </w:r>
            <w:r>
              <w:rPr>
                <w:rFonts w:ascii="Consolas" w:eastAsia="Times New Roman" w:hAnsi="Consolas" w:cs="Consolas"/>
                <w:color w:val="333333"/>
                <w:sz w:val="18"/>
                <w:szCs w:val="18"/>
                <w:lang w:eastAsia="pl-PL"/>
              </w:rPr>
              <w:t xml:space="preserve"> String </w:t>
            </w:r>
            <w:r>
              <w:rPr>
                <w:rFonts w:ascii="Consolas" w:eastAsia="Times New Roman" w:hAnsi="Consolas" w:cs="Consolas"/>
                <w:color w:val="795DA3"/>
                <w:sz w:val="18"/>
                <w:szCs w:val="18"/>
                <w:lang w:eastAsia="pl-PL"/>
              </w:rPr>
              <w:t>getSetSpeed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szCs w:val="18"/>
                <w:lang w:eastAsia="pl-PL"/>
              </w:rPr>
              <w:t>throws</w:t>
            </w:r>
            <w:r>
              <w:rPr>
                <w:rFonts w:ascii="Consolas" w:eastAsia="Times New Roman" w:hAnsi="Consolas" w:cs="Consolas"/>
                <w:color w:val="333333"/>
                <w:sz w:val="18"/>
                <w:szCs w:val="18"/>
                <w:lang w:eastAsia="pl-PL"/>
              </w:rPr>
              <w:t xml:space="preserve"> SerialPortException;</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238"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ind w:firstLine="720"/>
        <w:rPr>
          <w:lang w:val="pl-PL"/>
        </w:rPr>
      </w:pPr>
      <w:r>
        <w:rPr>
          <w:lang w:val="pl-PL"/>
        </w:rPr>
        <w:t>Interfejs udostępnia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lastRenderedPageBreak/>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na otwartej licencji. Obsługa portów szeregowych jest ściśle związana z systemem operacyjnym  i wymagana jest ich natywna implementacja, specyficzna dla danego systemu. Zastosowana biblioteka posiada 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5"/>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lastRenderedPageBreak/>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16"/>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Pr>
          <w:i/>
          <w:lang w:val="pl-PL"/>
        </w:rPr>
        <w:t>Nashorn</w:t>
      </w:r>
      <w:r>
        <w:rPr>
          <w:lang w:val="pl-PL"/>
        </w:rPr>
        <w:t xml:space="preserve"> jest wydajną implementacją języka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D37A2E">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537C32">
            <w:pPr>
              <w:spacing w:after="0"/>
            </w:pPr>
            <w:r w:rsidRPr="00537C32">
              <w:pict>
                <v:rect id="shape_0" o:spid="_x0000_s1026" style="position:absolute;margin-left:0;margin-top:0;width:463.25pt;height:500.3pt;z-index:251657728;mso-position-horizontal-relative:text;mso-position-vertical-relative:text" stroked="f" strokecolor="#3465a4">
                  <v:stroke joinstyle="round"/>
                  <v:imagedata r:id="rId17"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w:t>
      </w:r>
      <w:r>
        <w:rPr>
          <w:lang w:val="pl-PL"/>
        </w:rPr>
        <w:lastRenderedPageBreak/>
        <w:t>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18"/>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Przycisk z krzyżykiem odpowiada za wyłączenie elementu i jest jednoznaczny z odznaczeniem elementu w głównym oknie modułowym. Przycisk aktywacji określa włączenie działania bloku i jest podstawowym 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p w:rsidR="00AB6B7D" w:rsidRDefault="002179DF">
      <w:pPr>
        <w:pStyle w:val="Nagwek2"/>
        <w:numPr>
          <w:ilvl w:val="2"/>
          <w:numId w:val="1"/>
        </w:numPr>
        <w:rPr>
          <w:lang w:val="pl-PL"/>
        </w:rPr>
      </w:pPr>
      <w:bookmarkStart w:id="25" w:name="_Toc436583519"/>
      <w:bookmarkEnd w:id="25"/>
      <w:r>
        <w:rPr>
          <w:lang w:val="pl-PL"/>
        </w:rPr>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19"/>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0"/>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1"/>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2"/>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nil"/>
              <w:bottom w:val="nil"/>
              <w:right w:val="nil"/>
            </w:tcBorders>
            <w:shd w:val="clear" w:color="auto" w:fill="auto"/>
          </w:tcPr>
          <w:p w:rsidR="00AB6B7D" w:rsidRDefault="002179DF">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AB6B7D" w:rsidRDefault="002179DF">
            <w:pPr>
              <w:pStyle w:val="Akapitzlist"/>
              <w:numPr>
                <w:ilvl w:val="0"/>
                <w:numId w:val="10"/>
              </w:numPr>
              <w:spacing w:after="0"/>
              <w:rPr>
                <w:lang w:val="pl-PL"/>
              </w:rPr>
            </w:pPr>
            <w:r>
              <w:rPr>
                <w:lang w:val="pl-PL"/>
              </w:rPr>
              <w:t>centymetry na sekundę(domyślnie)</w:t>
            </w:r>
          </w:p>
          <w:p w:rsidR="00AB6B7D" w:rsidRDefault="002179DF">
            <w:pPr>
              <w:pStyle w:val="Akapitzlist"/>
              <w:numPr>
                <w:ilvl w:val="0"/>
                <w:numId w:val="10"/>
              </w:numPr>
              <w:spacing w:after="0"/>
              <w:rPr>
                <w:lang w:val="pl-PL"/>
              </w:rPr>
            </w:pPr>
            <w:r>
              <w:rPr>
                <w:lang w:val="pl-PL"/>
              </w:rPr>
              <w:t xml:space="preserve">metry na sekundę </w:t>
            </w:r>
          </w:p>
          <w:p w:rsidR="00AB6B7D" w:rsidRDefault="002179DF">
            <w:pPr>
              <w:pStyle w:val="Akapitzlist"/>
              <w:numPr>
                <w:ilvl w:val="0"/>
                <w:numId w:val="10"/>
              </w:numPr>
              <w:spacing w:after="0"/>
              <w:rPr>
                <w:lang w:val="pl-PL"/>
              </w:rPr>
            </w:pPr>
            <w:r>
              <w:rPr>
                <w:lang w:val="pl-PL"/>
              </w:rPr>
              <w:t>kilometry na godzinę</w:t>
            </w:r>
          </w:p>
          <w:p w:rsidR="00AB6B7D" w:rsidRDefault="002179DF">
            <w:pPr>
              <w:spacing w:after="0"/>
              <w:rPr>
                <w:lang w:val="pl-PL"/>
              </w:rPr>
            </w:pPr>
            <w:r>
              <w:rPr>
                <w:lang w:val="pl-PL"/>
              </w:rPr>
              <w:t>Kolejną opcją jest ustawienie formy wyświetlenia prędkości:</w:t>
            </w:r>
          </w:p>
          <w:p w:rsidR="00AB6B7D" w:rsidRDefault="002179DF">
            <w:pPr>
              <w:pStyle w:val="Akapitzlist"/>
              <w:numPr>
                <w:ilvl w:val="0"/>
                <w:numId w:val="11"/>
              </w:numPr>
              <w:spacing w:after="0"/>
              <w:rPr>
                <w:lang w:val="pl-PL"/>
              </w:rPr>
            </w:pPr>
            <w:r>
              <w:rPr>
                <w:lang w:val="pl-PL"/>
              </w:rPr>
              <w:t>prędkość translacji i rotacji robota ( domyślnie)</w:t>
            </w:r>
          </w:p>
          <w:p w:rsidR="00AB6B7D" w:rsidRDefault="002179DF">
            <w:pPr>
              <w:pStyle w:val="Akapitzlist"/>
              <w:numPr>
                <w:ilvl w:val="0"/>
                <w:numId w:val="11"/>
              </w:numPr>
              <w:spacing w:after="0"/>
              <w:rPr>
                <w:lang w:val="pl-PL"/>
              </w:rPr>
            </w:pPr>
            <w:r>
              <w:rPr>
                <w:lang w:val="pl-PL"/>
              </w:rPr>
              <w:t xml:space="preserve">prędkość lewego i prawego koła robota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3"/>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24"/>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2179DF">
      <w:pPr>
        <w:pStyle w:val="Nagwek1"/>
        <w:numPr>
          <w:ilvl w:val="0"/>
          <w:numId w:val="1"/>
        </w:numPr>
        <w:rPr>
          <w:lang w:val="pl-PL"/>
        </w:rPr>
      </w:pPr>
      <w:bookmarkStart w:id="30" w:name="_Toc436583523"/>
      <w:bookmarkEnd w:id="30"/>
      <w:r>
        <w:rPr>
          <w:lang w:val="pl-PL"/>
        </w:rPr>
        <w:lastRenderedPageBreak/>
        <w:t>Możliwości wykonanego projektu</w:t>
      </w:r>
    </w:p>
    <w:p w:rsidR="00AB6B7D" w:rsidRDefault="002179DF">
      <w:pPr>
        <w:pStyle w:val="Nagwek1"/>
        <w:numPr>
          <w:ilvl w:val="0"/>
          <w:numId w:val="1"/>
        </w:numPr>
        <w:rPr>
          <w:lang w:val="pl-PL"/>
        </w:rPr>
      </w:pPr>
      <w:bookmarkStart w:id="31" w:name="_Toc436583524"/>
      <w:bookmarkEnd w:id="31"/>
      <w:r>
        <w:rPr>
          <w:lang w:val="pl-PL"/>
        </w:rPr>
        <w:t>Podsumowanie projektu</w:t>
      </w:r>
    </w:p>
    <w:p w:rsidR="00AB6B7D" w:rsidRDefault="00AB6B7D">
      <w:pPr>
        <w:rPr>
          <w:lang w:val="pl-PL"/>
        </w:rPr>
      </w:pPr>
    </w:p>
    <w:p w:rsidR="00AB6B7D" w:rsidRDefault="00AB6B7D">
      <w:pPr>
        <w:pStyle w:val="Akapitzlist"/>
        <w:ind w:left="750"/>
        <w:rPr>
          <w:lang w:val="pl-PL"/>
        </w:rPr>
      </w:pP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AB6B7D"/>
    <w:sectPr w:rsidR="00AB6B7D"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E73" w:rsidRDefault="00BB6E73" w:rsidP="00121923">
      <w:pPr>
        <w:spacing w:after="0" w:line="240" w:lineRule="auto"/>
      </w:pPr>
      <w:r>
        <w:separator/>
      </w:r>
    </w:p>
  </w:endnote>
  <w:endnote w:type="continuationSeparator" w:id="1">
    <w:p w:rsidR="00BB6E73" w:rsidRDefault="00BB6E73"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20002A87" w:usb1="00000000" w:usb2="00000000"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E73" w:rsidRDefault="00BB6E73" w:rsidP="00121923">
      <w:pPr>
        <w:spacing w:after="0" w:line="240" w:lineRule="auto"/>
      </w:pPr>
      <w:r>
        <w:separator/>
      </w:r>
    </w:p>
  </w:footnote>
  <w:footnote w:type="continuationSeparator" w:id="1">
    <w:p w:rsidR="00BB6E73" w:rsidRDefault="00BB6E73"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6"/>
  </w:num>
  <w:num w:numId="5">
    <w:abstractNumId w:val="15"/>
  </w:num>
  <w:num w:numId="6">
    <w:abstractNumId w:val="5"/>
  </w:num>
  <w:num w:numId="7">
    <w:abstractNumId w:val="6"/>
  </w:num>
  <w:num w:numId="8">
    <w:abstractNumId w:val="9"/>
  </w:num>
  <w:num w:numId="9">
    <w:abstractNumId w:val="7"/>
  </w:num>
  <w:num w:numId="10">
    <w:abstractNumId w:val="2"/>
  </w:num>
  <w:num w:numId="11">
    <w:abstractNumId w:val="14"/>
  </w:num>
  <w:num w:numId="12">
    <w:abstractNumId w:val="3"/>
  </w:num>
  <w:num w:numId="13">
    <w:abstractNumId w:val="0"/>
  </w:num>
  <w:num w:numId="14">
    <w:abstractNumId w:val="10"/>
  </w:num>
  <w:num w:numId="15">
    <w:abstractNumId w:val="12"/>
  </w:num>
  <w:num w:numId="16">
    <w:abstractNumId w:val="11"/>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07C50"/>
    <w:rsid w:val="00091AB4"/>
    <w:rsid w:val="000C6382"/>
    <w:rsid w:val="000E36AA"/>
    <w:rsid w:val="00121189"/>
    <w:rsid w:val="00121923"/>
    <w:rsid w:val="00133709"/>
    <w:rsid w:val="001674A8"/>
    <w:rsid w:val="002179DF"/>
    <w:rsid w:val="00264C55"/>
    <w:rsid w:val="00307189"/>
    <w:rsid w:val="0031192D"/>
    <w:rsid w:val="00393771"/>
    <w:rsid w:val="004050DC"/>
    <w:rsid w:val="004311D1"/>
    <w:rsid w:val="00451E39"/>
    <w:rsid w:val="004B6F53"/>
    <w:rsid w:val="005159BD"/>
    <w:rsid w:val="00537C32"/>
    <w:rsid w:val="005B3868"/>
    <w:rsid w:val="006709B4"/>
    <w:rsid w:val="006B12FF"/>
    <w:rsid w:val="006B2E18"/>
    <w:rsid w:val="007203A3"/>
    <w:rsid w:val="00720CFA"/>
    <w:rsid w:val="00753519"/>
    <w:rsid w:val="00764B52"/>
    <w:rsid w:val="007B471C"/>
    <w:rsid w:val="007C7480"/>
    <w:rsid w:val="00801423"/>
    <w:rsid w:val="008263AD"/>
    <w:rsid w:val="00840EE8"/>
    <w:rsid w:val="00862351"/>
    <w:rsid w:val="008A558C"/>
    <w:rsid w:val="008B48D4"/>
    <w:rsid w:val="008C3A8B"/>
    <w:rsid w:val="009A4283"/>
    <w:rsid w:val="009F1CB7"/>
    <w:rsid w:val="00A73435"/>
    <w:rsid w:val="00A828D0"/>
    <w:rsid w:val="00A8738D"/>
    <w:rsid w:val="00AB6B7D"/>
    <w:rsid w:val="00AC5707"/>
    <w:rsid w:val="00AD0FC5"/>
    <w:rsid w:val="00AF7B1E"/>
    <w:rsid w:val="00B01BAB"/>
    <w:rsid w:val="00BB6E73"/>
    <w:rsid w:val="00C47A3B"/>
    <w:rsid w:val="00C64EA1"/>
    <w:rsid w:val="00C8360D"/>
    <w:rsid w:val="00C96A3A"/>
    <w:rsid w:val="00CD560D"/>
    <w:rsid w:val="00CD58D4"/>
    <w:rsid w:val="00D37A2E"/>
    <w:rsid w:val="00D620F9"/>
    <w:rsid w:val="00D93B07"/>
    <w:rsid w:val="00DD76F1"/>
    <w:rsid w:val="00E943F5"/>
    <w:rsid w:val="00EA1E08"/>
    <w:rsid w:val="00ED4D6D"/>
    <w:rsid w:val="00F154B1"/>
    <w:rsid w:val="00FD3B24"/>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31</Pages>
  <Words>7252</Words>
  <Characters>43513</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50664</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29</cp:revision>
  <dcterms:created xsi:type="dcterms:W3CDTF">2015-12-02T22:15:00Z</dcterms:created>
  <dcterms:modified xsi:type="dcterms:W3CDTF">2015-12-04T20:01:00Z</dcterms:modified>
  <dc:language>pl-PL</dc:language>
</cp:coreProperties>
</file>