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sz w:val="44"/>
        </w:rPr>
        <w:t>ИМБА: ТЕЗИСНЫЙ ПЛАН И ШПАРГАЛКА К ЗАЩИТЕ</w:t>
      </w:r>
    </w:p>
    <w:p>
      <w:pPr>
        <w:spacing w:after="400"/>
        <w:jc w:val="center"/>
      </w:pPr>
      <w:r>
        <w:rPr>
          <w:rFonts w:ascii="Arial" w:hAnsi="Arial"/>
          <w:i/>
          <w:color w:val="646464"/>
          <w:sz w:val="26"/>
        </w:rPr>
        <w:t>Структура выступления по 16 слайдам, артефакты и точные данные для portfolio.hse.ru</w:t>
      </w:r>
    </w:p>
    <w:p>
      <w:pPr>
        <w:spacing w:before="320" w:after="120"/>
      </w:pPr>
      <w:r>
        <w:rPr>
          <w:rFonts w:ascii="Arial" w:hAnsi="Arial"/>
          <w:b/>
          <w:sz w:val="30"/>
        </w:rPr>
        <w:t>1. ТОЧНЫЕ ДАННЫЕ ДЛЯ ЗАПОЛНЕНИЯ ФОРМЫ (PORTFOLIO.HSE.RU)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Поле: «Название» (лимит 70 символов)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ИМБА: Интерактивный тренажер ОГЭ через экономику и игры (58 символов)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Альтернатива: ИМБА — математика и экономика для геймеров (ОГЭ) (51 символ)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Поле: «Описание проекта» (лимит строго от 200 до 400 символов)</w:t>
      </w:r>
    </w:p>
    <w:p>
      <w:pPr>
        <w:spacing w:after="80"/>
      </w:pPr>
      <w:r>
        <w:t>«Курс «ИМБА» — асинхронный онлайн-тренажер ОГЭ по математике для подростков 13–15 лет. Входные требования: база 6 класса. УТП: реверс-инжиниринг игр вместо зубрежки. Формат: 12 уроков по 15 мин онлайн в браузере. Чему научатся и практика: интерактивные симуляторы и тесты ОГЭ. Тематический план: 3 раздела (Микроэкономика, Макроэкономика, Физика меты), 12 уровней с открытым прототипом.»</w:t>
      </w:r>
    </w:p>
    <w:p>
      <w:pPr>
        <w:spacing w:after="80"/>
      </w:pPr>
      <w:r>
        <w:t>Длина текста: ровно 385 символов (включая пробелы) — строго попадает в лимит 200–400 символов и содержит все обязательные пункты.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Поле: «Выберите теги»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Теги: </w:t>
      </w:r>
      <w:r>
        <w:rPr>
          <w:rFonts w:ascii="Arial" w:hAnsi="Arial"/>
          <w:sz w:val="21"/>
        </w:rPr>
        <w:t>Образовательный дизайн, EdTech, UI/UX, Геймификация, Интерактивный дизайн, Необрутализм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Файлы для загрузки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Обложка (1:1.41, JPEG): </w:t>
      </w:r>
      <w:r>
        <w:rPr>
          <w:rFonts w:ascii="Arial" w:hAnsi="Arial"/>
          <w:sz w:val="21"/>
        </w:rPr>
        <w:t>Обложка_2480x3500.jpg (2480 × 3500 px)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Развороты (1.41:1, JPEG): </w:t>
      </w:r>
      <w:r>
        <w:rPr>
          <w:rFonts w:ascii="Arial" w:hAnsi="Arial"/>
          <w:sz w:val="21"/>
        </w:rPr>
        <w:t>16 файлов из папки «Развороты_для_портфолио_3500x2480»</w:t>
      </w:r>
    </w:p>
    <w:p>
      <w:pPr>
        <w:spacing w:before="320" w:after="120"/>
      </w:pPr>
      <w:r>
        <w:rPr>
          <w:rFonts w:ascii="Arial" w:hAnsi="Arial"/>
          <w:b/>
          <w:sz w:val="30"/>
        </w:rPr>
        <w:t>2. ТЕЗИСНЫЙ ПЛАН ЗАЩИТЫ ПО СЛАЙДАМ (16 СЛАЙДОВ)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01: Титульный слайд (ИМБА • Математика для геймеров)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Математика как легальный чит-код и инструмент победы, а не школьная повинность.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Суть проекта: </w:t>
      </w:r>
      <w:r>
        <w:rPr>
          <w:rFonts w:ascii="Arial" w:hAnsi="Arial"/>
          <w:sz w:val="21"/>
        </w:rPr>
        <w:t>Веб-практикум для 7–9 классов: деконструкция алгоритмов любимых игр для органичной подготовки к ОГЭ.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Продуктовые референсы: </w:t>
      </w:r>
      <w:r>
        <w:rPr>
          <w:rFonts w:ascii="Arial" w:hAnsi="Arial"/>
          <w:sz w:val="21"/>
        </w:rPr>
        <w:t>Duolingo (геймификация и трек прогресса) и Brilliant (визуальные интерактивные симуляторы).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Масштаб курса: </w:t>
      </w:r>
      <w:r>
        <w:rPr>
          <w:rFonts w:ascii="Arial" w:hAnsi="Arial"/>
          <w:sz w:val="21"/>
        </w:rPr>
        <w:t>3 раздела, 12 интерактивных модулей, 100% практический формат в браузере.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QR-код в правом верхнем углу — предложить комиссии навести камеру смартфона для запуска онлайн-симулятора.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02: Проблематика и контекст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Школьный тупик и парадокс геймера: отторжение абстрактной зубрежки при колоссальной вовлеченности в игры.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Школьный стресс: </w:t>
      </w:r>
      <w:r>
        <w:rPr>
          <w:rFonts w:ascii="Arial" w:hAnsi="Arial"/>
          <w:sz w:val="21"/>
        </w:rPr>
        <w:t>73% девятиклассников испытывают страх перед ОГЭ из-за оторванности сборников от жизни.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Парадокс геймера: </w:t>
      </w:r>
      <w:r>
        <w:rPr>
          <w:rFonts w:ascii="Arial" w:hAnsi="Arial"/>
          <w:sz w:val="21"/>
        </w:rPr>
        <w:t>Подросток проводит 3+ часа в день в играх, виртуозно считает статы и тайминги, но ненавидит формулы.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Финансовый риск: </w:t>
      </w:r>
      <w:r>
        <w:rPr>
          <w:rFonts w:ascii="Arial" w:hAnsi="Arial"/>
          <w:sz w:val="21"/>
        </w:rPr>
        <w:t>Подростки сливают карманные деньги в лутбоксах и рулетках, не понимая математического ожидания.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Инфографика трех узловых проблем (стресс, игровой парадокс, финансовая уязвимость).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03: Продуктовые референсы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Анализ лучших мировых практик EdTech: геймификация Duolingo и визуальные симуляции Brilliant.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Референс Duolingo: </w:t>
      </w:r>
      <w:r>
        <w:rPr>
          <w:rFonts w:ascii="Arial" w:hAnsi="Arial"/>
          <w:sz w:val="21"/>
        </w:rPr>
        <w:t>Изометрический трек прогресса, последовательное открытие уровней замками, раздельные валюты XP и Кристаллы.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Референс Brilliant: </w:t>
      </w:r>
      <w:r>
        <w:rPr>
          <w:rFonts w:ascii="Arial" w:hAnsi="Arial"/>
          <w:sz w:val="21"/>
        </w:rPr>
        <w:t>Отказ от пассивных видеолекций — обучение через интерактивные стенды с прямым манипулированием объектами.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Стиль Neobrutalism: </w:t>
      </w:r>
      <w:r>
        <w:rPr>
          <w:rFonts w:ascii="Arial" w:hAnsi="Arial"/>
          <w:sz w:val="21"/>
        </w:rPr>
        <w:t>Высокий контраст, черные рамки 8px, жесткие тени 18px, функциональная цветовая кодировка без лишнего шума.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Карточки продуктового анализа механик Duolingo и Brilliant.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04: Целевая аудитория и Касдев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Глубинные интервью с 25+ подростками и родителями подтвердили гипотезу превосходства.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Портрет (13–15 лет): </w:t>
      </w:r>
      <w:r>
        <w:rPr>
          <w:rFonts w:ascii="Arial" w:hAnsi="Arial"/>
          <w:sz w:val="21"/>
        </w:rPr>
        <w:t>Играют в CS2, Brawl Stars, Genshin; хотят побеждать; готовы учить формулы, если они дают преимущество.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Родители: </w:t>
      </w:r>
      <w:r>
        <w:rPr>
          <w:rFonts w:ascii="Arial" w:hAnsi="Arial"/>
          <w:sz w:val="21"/>
        </w:rPr>
        <w:t>Хотят гарантированной сдачи экзамена и защиты семейного бюджета от донатов.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Метрика пилота: </w:t>
      </w:r>
      <w:r>
        <w:rPr>
          <w:rFonts w:ascii="Arial" w:hAnsi="Arial"/>
          <w:sz w:val="21"/>
        </w:rPr>
        <w:t>9 из 10 участников решили экзаменационную задачу ОГЭ на вероятность с 1-й попытки после 12 минут в тренажере.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Результаты пилотного тестирования фокус-группы: 90% успешность решения ОГЭ.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05: Архитектура курса (Общая карта)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Логическая сетка из 12 интерактивных уровней и 3 разделов со 100% маппингом на темы ОГЭ.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Раздел 1 (Микроэкономика): </w:t>
      </w:r>
      <w:r>
        <w:rPr>
          <w:rFonts w:ascii="Arial" w:hAnsi="Arial"/>
          <w:sz w:val="21"/>
        </w:rPr>
        <w:t>Лутбоксы, крафт, алхимия, теория игр (ОГЭ №10, №13, №21, №11).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Раздел 2 (Макроэкономика): </w:t>
      </w:r>
      <w:r>
        <w:rPr>
          <w:rFonts w:ascii="Arial" w:hAnsi="Arial"/>
          <w:sz w:val="21"/>
        </w:rPr>
        <w:t>Аукционы, осадные параболы, формула Пика, снайперские секторы (ОГЭ №12, №11, №18, №15).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Раздел 3 (Физика меты): </w:t>
      </w:r>
      <w:r>
        <w:rPr>
          <w:rFonts w:ascii="Arial" w:hAnsi="Arial"/>
          <w:sz w:val="21"/>
        </w:rPr>
        <w:t>Движение по реке, рейдовый DPS, баланс патчей, алгоритм Дейкстры (ОГЭ №21, №19, №4).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Карта курса и схема соответствия номерам заданий экзамена ОГЭ.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06: Раздел 1: Микроэкономика и Рандом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Деконструкция случайных событий, распределение ресурсов и матричные игры.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01 (Взлом рандома): </w:t>
      </w:r>
      <w:r>
        <w:rPr>
          <w:rFonts w:ascii="Arial" w:hAnsi="Arial"/>
          <w:sz w:val="21"/>
        </w:rPr>
        <w:t>Вероятность P(A) = m/n, матожидание дропа, закон больших чисел на 1 000 открытиях.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02 (Крафт): </w:t>
      </w:r>
      <w:r>
        <w:rPr>
          <w:rFonts w:ascii="Arial" w:hAnsi="Arial"/>
          <w:sz w:val="21"/>
        </w:rPr>
        <w:t>Системы линейных неравенств с ограничениями инвентаря и времени фарма.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03 (Зелья): </w:t>
      </w:r>
      <w:r>
        <w:rPr>
          <w:rFonts w:ascii="Arial" w:hAnsi="Arial"/>
          <w:sz w:val="21"/>
        </w:rPr>
        <w:t>Алхимия в RPG — текстовые задачи на концентрацию, смеси и сплавы (ОГЭ №21).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04 (Теория игр): </w:t>
      </w:r>
      <w:r>
        <w:rPr>
          <w:rFonts w:ascii="Arial" w:hAnsi="Arial"/>
          <w:sz w:val="21"/>
        </w:rPr>
        <w:t>Матрицы выплат и равновесие Нэша при выборе тактики против оппонента.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Секретный сундук 1 со скретч-слоем и алгоритмическим чит-кодом к задаче №10.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07: Раздел 2: Макроэкономика и Базы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Экономика виртуальных рынков, квадратичные траектории и геометрия баз.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05 (Биржа лута): </w:t>
      </w:r>
      <w:r>
        <w:rPr>
          <w:rFonts w:ascii="Arial" w:hAnsi="Arial"/>
          <w:sz w:val="21"/>
        </w:rPr>
        <w:t>Сложный процент, комиссии рынка и инфляция через геометрическую прогрессию.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06 (Баллистика): </w:t>
      </w:r>
      <w:r>
        <w:rPr>
          <w:rFonts w:ascii="Arial" w:hAnsi="Arial"/>
          <w:sz w:val="21"/>
        </w:rPr>
        <w:t>Параболы осадных орудий: вершина параболы и точка падения снаряда.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07 (Захват базы): </w:t>
      </w:r>
      <w:r>
        <w:rPr>
          <w:rFonts w:ascii="Arial" w:hAnsi="Arial"/>
          <w:sz w:val="21"/>
        </w:rPr>
        <w:t>Формула Пика S = В + Г/2 - 1: вычисление площади полигонов на сетке за 5 секунд.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08 (Снайпер): </w:t>
      </w:r>
      <w:r>
        <w:rPr>
          <w:rFonts w:ascii="Arial" w:hAnsi="Arial"/>
          <w:sz w:val="21"/>
        </w:rPr>
        <w:t>Тригонометрия прямоугольного треугольника: тангенс и синус угла обзора.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Секретный сундук 2 с интерактивным гайдом по формуле Пика.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08: Раздел 3: Физика меты и Рейды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Командная производительность, кинематика спидрана и сетевые графы.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09 (Погоня на реке): </w:t>
      </w:r>
      <w:r>
        <w:rPr>
          <w:rFonts w:ascii="Arial" w:hAnsi="Arial"/>
          <w:sz w:val="21"/>
        </w:rPr>
        <w:t>Движение по течению и против: дробно-рациональные уравнения части 2.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10 (Рейдовый DPS): </w:t>
      </w:r>
      <w:r>
        <w:rPr>
          <w:rFonts w:ascii="Arial" w:hAnsi="Arial"/>
          <w:sz w:val="21"/>
        </w:rPr>
        <w:t>Совместная работа команды: сложение индивидуальных мощностей урона.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11 (Баланс меты): </w:t>
      </w:r>
      <w:r>
        <w:rPr>
          <w:rFonts w:ascii="Arial" w:hAnsi="Arial"/>
          <w:sz w:val="21"/>
        </w:rPr>
        <w:t>Статистический анализ патчей: медиана, среднее, размах выборки.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Модуль 12 (Рейд по графам): </w:t>
      </w:r>
      <w:r>
        <w:rPr>
          <w:rFonts w:ascii="Arial" w:hAnsi="Arial"/>
          <w:sz w:val="21"/>
        </w:rPr>
        <w:t>Алгоритм Дейкстры: поиск кратчайшего пути в подземелье по взвешенному графу.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Финальный скретч-сундук 3 и Итоговый Диплом Магистра игровой экономики.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09: Педагогическая методология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Методология: игровой реверс-инжиниринг и 4-шаговый цикл деятельностного обучения.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Шаг 1 (Опыт / Дилемма): </w:t>
      </w:r>
      <w:r>
        <w:rPr>
          <w:rFonts w:ascii="Arial" w:hAnsi="Arial"/>
          <w:sz w:val="21"/>
        </w:rPr>
        <w:t>Провокационный кейс: «Слил 10 кейсов без ножа. В чем обман?» Без заумной теории.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Шаг 2 (Деконструкция / Модель): </w:t>
      </w:r>
      <w:r>
        <w:rPr>
          <w:rFonts w:ascii="Arial" w:hAnsi="Arial"/>
          <w:sz w:val="21"/>
        </w:rPr>
        <w:t>Разбор скрытого алгоритма разработчиков: формула вероятности и матожидание.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Шаг 3 (Действие / Эксперимент): </w:t>
      </w:r>
      <w:r>
        <w:rPr>
          <w:rFonts w:ascii="Arial" w:hAnsi="Arial"/>
          <w:sz w:val="21"/>
        </w:rPr>
        <w:t>Интерактивный ползунок шанса и симуляция 1 000 дропов с динамическим графиком.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Шаг 4 (Валидация / ОГЭ): </w:t>
      </w:r>
      <w:r>
        <w:rPr>
          <w:rFonts w:ascii="Arial" w:hAnsi="Arial"/>
          <w:sz w:val="21"/>
        </w:rPr>
        <w:t>Решение реальной задачи экзамена без подсказок, автоматическая проверка и награда XP/Gems.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Схема 4 тактов деятельностного цикла (Опыт → Деконструкция → Эксперимент → Валидация).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10: Артефакт студента (Пример выполненного задания)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Практическое доказательство эффективности: расчет лутбокса и 100% решение задачи ОГЭ.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Исследовательский расчет: </w:t>
      </w:r>
      <w:r>
        <w:rPr>
          <w:rFonts w:ascii="Arial" w:hAnsi="Arial"/>
          <w:sz w:val="21"/>
        </w:rPr>
        <w:t>Кейс за 100 монет (90% по 10, 9% по 300, 1% по 2000) дает E(X) = 56 монет. ROI = -44%.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Вывод ученика: </w:t>
      </w:r>
      <w:r>
        <w:rPr>
          <w:rFonts w:ascii="Arial" w:hAnsi="Arial"/>
          <w:sz w:val="21"/>
        </w:rPr>
        <w:t>Осознанное понимание неминуемого банкротства при игре в лутбоксы на длинной дистанции.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Экзаменационный тест: </w:t>
      </w:r>
      <w:r>
        <w:rPr>
          <w:rFonts w:ascii="Arial" w:hAnsi="Arial"/>
          <w:sz w:val="21"/>
        </w:rPr>
        <w:t>Безошибочное решение задачи ОГЭ №10 (3 выигрышных из 20, ответ P = 0,15) с первой попытки.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Студенческий артефакт: аналитический расчет матожидания и скриншот решенного теста ОГЭ.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11: Система мотивации и геймификации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Удержание внимания через петли обратной связи и тактильный дофамин.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Раздельный баланс: </w:t>
      </w:r>
      <w:r>
        <w:rPr>
          <w:rFonts w:ascii="Arial" w:hAnsi="Arial"/>
          <w:sz w:val="21"/>
        </w:rPr>
        <w:t>XP за шаги повышает ранг; Кристаллы начисляются только за безошибочные решения тестов ОГЭ.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Интерфейс карты: </w:t>
      </w:r>
      <w:r>
        <w:rPr>
          <w:rFonts w:ascii="Arial" w:hAnsi="Arial"/>
          <w:sz w:val="21"/>
        </w:rPr>
        <w:t>Изометрический трек с замками (референс Duolingo), индикатор оставшихся шагов и легкий возврат на карту.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Скретч-слой и Диплом: </w:t>
      </w:r>
      <w:r>
        <w:rPr>
          <w:rFonts w:ascii="Arial" w:hAnsi="Arial"/>
          <w:sz w:val="21"/>
        </w:rPr>
        <w:t>Интерактивное стирание фольги сундука курсором или пальцем на Canvas.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Интерфейсные элементы: карта курса, скретч-полотно на HTML5 Canvas, плашки баланса.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12: Юнит-экономика продукта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Высокомаржинальная бизнес-модель цифрового EdTech-решения.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Ключевые метрики: </w:t>
      </w:r>
      <w:r>
        <w:rPr>
          <w:rFonts w:ascii="Arial" w:hAnsi="Arial"/>
          <w:sz w:val="21"/>
        </w:rPr>
        <w:t>Цена полного курса — 2 990 ₽; CAC — 600 ₽ через вирусные Shorts/Reels.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Окупаемость: </w:t>
      </w:r>
      <w:r>
        <w:rPr>
          <w:rFonts w:ascii="Arial" w:hAnsi="Arial"/>
          <w:sz w:val="21"/>
        </w:rPr>
        <w:t>Точка безубыточности (Break-Even) — всего 45 продаж на весь MVP.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Маржинальность: </w:t>
      </w:r>
      <w:r>
        <w:rPr>
          <w:rFonts w:ascii="Arial" w:hAnsi="Arial"/>
          <w:sz w:val="21"/>
        </w:rPr>
        <w:t>&gt;80% благодаря отсутствию затрат на почасовую оплату преподавателей.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Масштаб: </w:t>
      </w:r>
      <w:r>
        <w:rPr>
          <w:rFonts w:ascii="Arial" w:hAnsi="Arial"/>
          <w:sz w:val="21"/>
        </w:rPr>
        <w:t>Рынок РФ — 1,4 млн выпускников 9-х классов каждый год.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Финансовая матрица: Unit-экономика, CAC, LTV и порог безубыточности.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13: Маркетинговая воронка продвижения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Органический трафик через разоблачение лудомании в играх и открытый демо-урок.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Этап 1 (Охват): </w:t>
      </w:r>
      <w:r>
        <w:rPr>
          <w:rFonts w:ascii="Arial" w:hAnsi="Arial"/>
          <w:sz w:val="21"/>
        </w:rPr>
        <w:t>Вирусные ролики в Shorts/Reels: «Почему ты никогда не выбьешь нож в CS2».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Этап 2 (Демо-урок): </w:t>
      </w:r>
      <w:r>
        <w:rPr>
          <w:rFonts w:ascii="Arial" w:hAnsi="Arial"/>
          <w:sz w:val="21"/>
        </w:rPr>
        <w:t>Бесплатный Уровень 1 на GitHub Pages без регистрации: 10 минут практики и победный дофамин.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Этап 3 (Сообщество): </w:t>
      </w:r>
      <w:r>
        <w:rPr>
          <w:rFonts w:ascii="Arial" w:hAnsi="Arial"/>
          <w:sz w:val="21"/>
        </w:rPr>
        <w:t>Telegram-канал: мемы, патчи, математические лайфхаки и стримы.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Этап 4 (Конверсия): </w:t>
      </w:r>
      <w:r>
        <w:rPr>
          <w:rFonts w:ascii="Arial" w:hAnsi="Arial"/>
          <w:sz w:val="21"/>
        </w:rPr>
        <w:t>Покупка полного курса за 2 990 ₽ с высокой конверсией из демо-модуля.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Схема 4-этапной воронки конверсии от вирусного ролика к покупке полного доступа.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14: Технологический стек и архитектура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Автономное веб-приложение: мгновенная скорость загрузки и 100% адаптивность.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Web-First: </w:t>
      </w:r>
      <w:r>
        <w:rPr>
          <w:rFonts w:ascii="Arial" w:hAnsi="Arial"/>
          <w:sz w:val="21"/>
        </w:rPr>
        <w:t>HTML5, CSS3, SVG, Canvas, ES6 JavaScript — ноль тяжелых сторонних фреймворков.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Скорость: </w:t>
      </w:r>
      <w:r>
        <w:rPr>
          <w:rFonts w:ascii="Arial" w:hAnsi="Arial"/>
          <w:sz w:val="21"/>
        </w:rPr>
        <w:t>Загрузка страницы за 0,2 секунды, плавная работа на любых смартфонах.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Адаптивность: </w:t>
      </w:r>
      <w:r>
        <w:rPr>
          <w:rFonts w:ascii="Arial" w:hAnsi="Arial"/>
          <w:sz w:val="21"/>
        </w:rPr>
        <w:t>0px горизонтального скролла на экранах от 375px (смартфоны) до 4K.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Автономность: </w:t>
      </w:r>
      <w:r>
        <w:rPr>
          <w:rFonts w:ascii="Arial" w:hAnsi="Arial"/>
          <w:sz w:val="21"/>
        </w:rPr>
        <w:t>Сохранение прогресса в localStorage браузера; бесплатный статический хостинг GitHub Pages.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Схема архитектуры без бэкенда и кроссплатформенной адаптивности.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15: Дорожная карта проекта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Четкий таймлайн от исследований и пилота к коммерческому масштабированию.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Сентябрь 2026: </w:t>
      </w:r>
      <w:r>
        <w:rPr>
          <w:rFonts w:ascii="Arial" w:hAnsi="Arial"/>
          <w:sz w:val="21"/>
        </w:rPr>
        <w:t>25+ интервью, методология, сопоставление с кодификатором ОГЭ, дизайн-система.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Октябрь 2026: </w:t>
      </w:r>
      <w:r>
        <w:rPr>
          <w:rFonts w:ascii="Arial" w:hAnsi="Arial"/>
          <w:sz w:val="21"/>
        </w:rPr>
        <w:t>Разработка 12 модулей MVP, успешное тестирование (90% сдали тест), релиз на GitHub Pages.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Ноябрь 2026+: </w:t>
      </w:r>
      <w:r>
        <w:rPr>
          <w:rFonts w:ascii="Arial" w:hAnsi="Arial"/>
          <w:sz w:val="21"/>
        </w:rPr>
        <w:t>Запуск платных продаж, подготовка треков профильного ЕГЭ и интеграция со школами.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Таймлайн дорожной карты: 3 фазы развития образовательного продукта.</w:t>
      </w:r>
    </w:p>
    <w:p>
      <w:pPr>
        <w:spacing w:before="200" w:after="60"/>
      </w:pPr>
      <w:r>
        <w:rPr>
          <w:rFonts w:ascii="Arial" w:hAnsi="Arial"/>
          <w:b/>
          <w:color w:val="00873D"/>
          <w:sz w:val="24"/>
        </w:rPr>
        <w:t>СЛАЙД 16: Интерактивный прототип (Финальный слайд)</w:t>
      </w:r>
    </w:p>
    <w:p>
      <w:pPr>
        <w:spacing w:after="80"/>
      </w:pPr>
      <w:r>
        <w:rPr>
          <w:rFonts w:ascii="Arial" w:hAnsi="Arial"/>
          <w:b/>
          <w:i w:val="0"/>
          <w:sz w:val="21"/>
        </w:rPr>
        <w:t>Главный тезис: Продукт полностью готов к работе и демонстрации прямо сейчас.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Что доступно: </w:t>
      </w:r>
      <w:r>
        <w:rPr>
          <w:rFonts w:ascii="Arial" w:hAnsi="Arial"/>
          <w:sz w:val="21"/>
        </w:rPr>
        <w:t>Все 12 интерактивных уровней, карта прогресса, визуальные симуляторы, сундуки и тесты ОГЭ.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Тестирование: </w:t>
      </w:r>
      <w:r>
        <w:rPr>
          <w:rFonts w:ascii="Arial" w:hAnsi="Arial"/>
          <w:sz w:val="21"/>
        </w:rPr>
        <w:t>Валидировано на iOS (Safari), Android (Chrome) и десктопах.</w:t>
      </w:r>
    </w:p>
    <w:p>
      <w:pPr>
        <w:pStyle w:val="ListBullet"/>
        <w:spacing w:after="40" w:before="0"/>
      </w:pPr>
      <w:r>
        <w:rPr>
          <w:rFonts w:ascii="Arial" w:hAnsi="Arial"/>
          <w:b/>
          <w:sz w:val="21"/>
        </w:rPr>
        <w:t xml:space="preserve">Призыв к комиссии: </w:t>
      </w:r>
      <w:r>
        <w:rPr>
          <w:rFonts w:ascii="Arial" w:hAnsi="Arial"/>
          <w:sz w:val="21"/>
        </w:rPr>
        <w:t>Предложить отсканировать большой центральный QR-код на экране и лично пройти симуляцию.</w:t>
      </w:r>
    </w:p>
    <w:p>
      <w:pPr>
        <w:spacing w:after="80"/>
      </w:pPr>
      <w:r>
        <w:rPr>
          <w:rFonts w:ascii="Arial" w:hAnsi="Arial"/>
          <w:b w:val="0"/>
          <w:i/>
          <w:sz w:val="21"/>
        </w:rPr>
        <w:t>Что показывать / Артефакт: Центральный QR-код высокого разрешения для мгновенного перехода в рабочий симулятор.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