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pPr>
        <w:pageBreakBefore w:val="0"/>
        <w:widowControl/>
        <w:kinsoku/>
        <w:wordWrap/>
        <w:overflowPunct/>
        <w:topLinePunct w:val="0"/>
        <w:autoSpaceDE/>
        <w:autoSpaceDN/>
        <w:bidi w:val="0"/>
        <w:adjustRightInd/>
        <w:snapToGrid/>
        <w:spacing w:line="480" w:lineRule="auto"/>
        <w:textAlignment w:val="auto"/>
      </w:pPr>
      <w:r>
        <w:rPr>
          <w:b w:val="0"/>
          <w:i w:val="0"/>
          <w:sz w:val="22"/>
        </w:rPr>
        <w:t>Note on Table 10 reproducibility. The accuracies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AdaBN reduce to the identity and the transfer collapses to chance. The reproducible zero-shot accuracies are 34.84% (SEED to DREAMER) and 35.30% (SEED to DEAP); they are regenerated by run_exp105_da_baselines.py and archived in results/exp105_da_baselines/exp105_results.json. Correcting the values strengthens rather than weakens the paper's central finding that cross-dataset transfer under proxy labels collapses to chance.</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v1.0.11).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v1.0.11);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run_exp103_reconstruction_check.py (best-effort reconstruction from archived run logs; does NOT byte-for-byte reproduce exp103_results.json; confirms Mahalanobis ~= Fixed-weighting calibration conclusion)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run_exp105_da_baselines.py</w:t>
            </w:r>
          </w:p>
        </w:tc>
        <w:tc>
          <w:tcPr>
            <w:tcW w:type="dxa" w:w="3781"/>
          </w:tcPr>
          <w:p>
            <w:r>
              <w:t>results/exp105_da_baselines/exp105_results.json</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