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32" w:after="180"/>
        <w:jc w:val="center"/>
      </w:pPr>
      <w:r>
        <w:rPr>
          <w:rFonts w:ascii="Times New Roman" w:hAnsi="Times New Roman"/>
          <w:b/>
          <w:color w:val="000000"/>
          <w:sz w:val="36"/>
        </w:rPr>
        <w:t>Reliability-Structured Composite Difficulty Estimation</w:t>
      </w:r>
    </w:p>
    <w:p>
      <w:pPr>
        <w:spacing w:after="44"/>
        <w:ind w:firstLine="0"/>
        <w:jc w:val="center"/>
      </w:pPr>
      <w:r>
        <w:rPr>
          <w:sz w:val="22"/>
        </w:rPr>
        <w:t>Zexiao Weng¹ and MinPo Jung¹,*</w:t>
      </w:r>
    </w:p>
    <w:p>
      <w:pPr>
        <w:spacing w:after="44"/>
        <w:ind w:firstLine="0"/>
        <w:jc w:val="center"/>
      </w:pPr>
      <w:r>
        <w:rPr>
          <w:sz w:val="22"/>
        </w:rPr>
        <w:t>¹ Youngsan University, Busan 48015, Republic of Korea</w:t>
      </w:r>
    </w:p>
    <w:p>
      <w:pPr>
        <w:pStyle w:val="ListBullet"/>
        <w:spacing w:after="120"/>
        <w:jc w:val="both"/>
      </w:pPr>
      <w:r>
        <w:t>Corresponding author. Email: minpo@ysu.ac.kr; ORCID: 0009-0003-3369-757X. Zexiao Weng ORCID: 0009-0009-8600-8954.</w:t>
      </w:r>
    </w:p>
    <w:p>
      <w:pPr>
        <w:spacing w:after="44"/>
        <w:ind w:firstLine="0"/>
        <w:jc w:val="center"/>
      </w:pPr>
      <w:r>
        <w:rPr>
          <w:sz w:val="22"/>
        </w:rPr>
        <w:t>AI-Assisted Writing Disclosure. This manuscript was prepared with the assistance of a large language model (LLM) used strictly as a language-polishing and drafting aid. No LLM authored scientific content or made any analytical, statistical, or experimental decision; all results, claims, and numerical values were produced by the authors' own experiments, simulations, and scripts. The LLM was not used to generate data, analyses, or conclusions.</w:t>
      </w:r>
    </w:p>
    <w:p>
      <w:pPr>
        <w:spacing w:after="120"/>
        <w:ind w:firstLine="0"/>
        <w:jc w:val="both"/>
      </w:pPr>
      <w:r>
        <w:rPr>
          <w:b/>
          <w:sz w:val="24"/>
        </w:rPr>
        <w:t>Abstract</w:t>
      </w:r>
    </w:p>
    <w:p>
      <w:pPr>
        <w:spacing w:line="300" w:lineRule="auto" w:after="105"/>
        <w:ind w:firstLine="0"/>
        <w:jc w:val="both"/>
      </w:pPr>
      <w:r>
        <w:rPr>
          <w:sz w:val="21"/>
        </w:rPr>
        <w:t xml:space="preserve">In the cold-start phase of an adaptive learning system, item difficulty cannot be taken directly from external labels and must instead be estimated by combining multiple log signals (success rate, hint rate, attempt count, self-report, trust, duration, etc.).The deployed </w:t>
      </w:r>
      <w:r>
        <w:rPr>
          <w:rFonts w:ascii="Courier New" w:hAnsi="Courier New"/>
          <w:sz w:val="22"/>
        </w:rPr>
        <w:t>srw7</w:t>
      </w:r>
      <w:r>
        <w:rPr>
          <w:sz w:val="21"/>
        </w:rPr>
        <w:t xml:space="preserve"> estimator (sign correction + split-half reliability weighting + sample-size shrinkage λ(k)) treats reliability directly as the combination weight.</w:t>
      </w:r>
    </w:p>
    <w:p>
      <w:pPr>
        <w:spacing w:line="300" w:lineRule="auto" w:after="105"/>
        <w:ind w:firstLine="0"/>
        <w:jc w:val="both"/>
      </w:pPr>
      <w:r>
        <w:rPr>
          <w:sz w:val="21"/>
        </w:rPr>
        <w:t xml:space="preserve">This paper proposes M4 — a reliability-structured combination chain — which improves </w:t>
      </w:r>
      <w:r>
        <w:rPr>
          <w:rFonts w:ascii="Courier New" w:hAnsi="Courier New"/>
          <w:sz w:val="22"/>
        </w:rPr>
        <w:t>srw7</w:t>
      </w:r>
      <w:r>
        <w:rPr>
          <w:sz w:val="21"/>
        </w:rPr>
        <w:t xml:space="preserve"> at four structural points: M4-A estimates the signal covariance on </w:t>
      </w:r>
      <w:r>
        <w:rPr>
          <w:b/>
          <w:sz w:val="21"/>
        </w:rPr>
        <w:t>rank correlation</w:t>
      </w:r>
      <w:r>
        <w:rPr>
          <w:sz w:val="21"/>
        </w:rPr>
        <w:t xml:space="preserve"> to be robust to the tails of the ECDF–logit transform; M4-B gives the optimal linear combination weight β = V⁻¹q (q_k = sgn_k√ρ_k) under a single-factor model, where V⁻¹ </w:t>
      </w:r>
      <w:r>
        <w:rPr>
          <w:b/>
          <w:sz w:val="21"/>
        </w:rPr>
        <w:t>automatically removes inter-column collinearity</w:t>
      </w:r>
      <w:r>
        <w:rPr>
          <w:sz w:val="21"/>
        </w:rPr>
        <w:t xml:space="preserve">; M4-C makes λ = Σ|β_aux|/Σ|β| a </w:t>
      </w:r>
      <w:r>
        <w:rPr>
          <w:b/>
          <w:sz w:val="21"/>
        </w:rPr>
        <w:t>diagnostic quantity rather than a hyperparameter</w:t>
      </w:r>
      <w:r>
        <w:rPr>
          <w:sz w:val="21"/>
        </w:rPr>
        <w:t xml:space="preserve">; and M4-D assigns each item a local reliability via the Spearman–Brown formula under partial observability.We first give an </w:t>
      </w:r>
      <w:r>
        <w:rPr>
          <w:b/>
          <w:sz w:val="21"/>
        </w:rPr>
        <w:t>analytic proof and numerical companion of Proposition P1</w:t>
      </w:r>
      <w:r>
        <w:rPr>
          <w:sz w:val="21"/>
        </w:rPr>
        <w:t>: under additively separable log-odds evidence, pairwise Bradley–Terry aggregation and weighted linear combination yield the same ranking (ρ(d,u) = 1.000000; convergence certificate ‖∇ℓ‖_∞ = 1e-11; all 384 solves converged).</w:t>
      </w:r>
    </w:p>
    <w:p>
      <w:pPr>
        <w:spacing w:line="300" w:lineRule="auto" w:after="105"/>
        <w:ind w:firstLine="0"/>
        <w:jc w:val="both"/>
      </w:pPr>
      <w:r>
        <w:rPr>
          <w:sz w:val="21"/>
        </w:rPr>
        <w:t xml:space="preserve">The two realistic sources of separability violation — probability-domain averaging (what LLM judges actually do) and per-pair missingness — break this identity, and our mechanism diagnosis shows that probability-domain averaging </w:t>
      </w:r>
      <w:r>
        <w:rPr>
          <w:b/>
          <w:sz w:val="21"/>
        </w:rPr>
        <w:t>implicitly moves toward precision weighting</w:t>
      </w:r>
      <w:r>
        <w:rPr>
          <w:sz w:val="21"/>
        </w:rPr>
        <w:t xml:space="preserve"> (ρ(BT prob-mean, precision-weighting) = 0.96404, higher than ρ(u_α, precision-weighting) = 0.939289).We then report a </w:t>
      </w:r>
      <w:r>
        <w:rPr>
          <w:b/>
          <w:sz w:val="21"/>
        </w:rPr>
        <w:t>negative result</w:t>
      </w:r>
      <w:r>
        <w:rPr>
          <w:sz w:val="21"/>
        </w:rPr>
        <w:t xml:space="preserve"> on an </w:t>
      </w:r>
      <w:r>
        <w:rPr>
          <w:b/>
          <w:sz w:val="21"/>
        </w:rPr>
        <w:t>exogenous</w:t>
      </w:r>
      <w:r>
        <w:rPr>
          <w:sz w:val="21"/>
        </w:rPr>
        <w:t xml:space="preserve"> criterion (DBE-KT22 teacher difficulty labels, Kendall τ_b): the full M4 estimator (M4-A/B/C) </w:t>
      </w:r>
      <w:r>
        <w:rPr>
          <w:b/>
          <w:sz w:val="21"/>
        </w:rPr>
        <w:t>collapses</w:t>
      </w:r>
      <w:r>
        <w:rPr>
          <w:sz w:val="21"/>
        </w:rPr>
        <w:t xml:space="preserve"> as sample size grows (k=10 τ_b = 0.1596 → k=200 τ_b = 0.0796, Δ = −0.0903, fusion win-rate 0.00), because the auxiliary signals are highly collinear with the success rate while M4's derived λ rises with k (0.7449 → 0.8734) even though the out-of-fold optimal λ actually approaches 0 (0.015).</w:t>
      </w:r>
    </w:p>
    <w:p>
      <w:pPr>
        <w:spacing w:line="300" w:lineRule="auto" w:after="105"/>
        <w:ind w:firstLine="0"/>
        <w:jc w:val="both"/>
      </w:pPr>
      <w:r>
        <w:rPr>
          <w:sz w:val="21"/>
        </w:rPr>
        <w:t xml:space="preserve">Motivated by this, we propose </w:t>
      </w:r>
      <w:r>
        <w:rPr>
          <w:b/>
          <w:sz w:val="21"/>
        </w:rPr>
        <w:t>M4-E (residualization)</w:t>
      </w:r>
      <w:r>
        <w:rPr>
          <w:sz w:val="21"/>
        </w:rPr>
        <w:t xml:space="preserve">, which removes each auxiliary signal's redundant component relative to the reference column (success rate), keeps only the incremental part, and mixes it back under λ — and this </w:t>
      </w:r>
      <w:r>
        <w:rPr>
          <w:b/>
          <w:sz w:val="21"/>
        </w:rPr>
        <w:t>repairs</w:t>
      </w:r>
      <w:r>
        <w:rPr>
          <w:sz w:val="21"/>
        </w:rPr>
        <w:t xml:space="preserve"> the collapse (k=200 τ_b = 0.1718, Δ = +0.0019, paired t = 5.66, win-rate 0.90).On a </w:t>
      </w:r>
      <w:r>
        <w:rPr>
          <w:b/>
          <w:sz w:val="21"/>
        </w:rPr>
        <w:t>secondary</w:t>
      </w:r>
      <w:r>
        <w:rPr>
          <w:sz w:val="21"/>
        </w:rPr>
        <w:t xml:space="preserve"> criterion (Junyi platform difficulty labels), the original full M4 estimator wins on every comparison (k=200 Δ = +0.0708, win-rate 1.00), and M4-E remains positive (Δ = +0.0073, win-rate 1.00).In §3.2 we give a formal proof that </w:t>
      </w:r>
      <w:r>
        <w:rPr>
          <w:b/>
          <w:sz w:val="21"/>
        </w:rPr>
        <w:t>reliability ≠ validity</w:t>
      </w:r>
      <w:r>
        <w:rPr>
          <w:sz w:val="21"/>
        </w:rPr>
        <w:t>, and on that basis we argue that the negative results of §3.1/§5.2 are not numerical noise but a structural manifestation of the mismatch between "reliability optimization" and the "validity target" in M4; any claim of an M4 gain must be re-examined against an exogenous criterion.</w:t>
      </w:r>
    </w:p>
    <w:p>
      <w:pPr>
        <w:spacing w:line="300" w:lineRule="auto" w:after="105"/>
        <w:ind w:firstLine="0"/>
        <w:jc w:val="both"/>
      </w:pPr>
      <w:r>
        <w:rPr>
          <w:b/>
          <w:sz w:val="21"/>
        </w:rPr>
        <w:t>Keywords</w:t>
      </w:r>
      <w:r>
        <w:rPr>
          <w:sz w:val="21"/>
        </w:rPr>
        <w:t>: difficulty combination estimation; reliability-structured weight; Bradley–Terry; additive separability; residualization; Kendall τ_b; negative results; exogenous criterion</w:t>
      </w:r>
    </w:p>
    <w:p>
      <w:bookmarkStart w:id="0" w:name="section-1"/>
      <w:pPr>
        <w:pStyle w:val="Heading2"/>
      </w:pPr>
      <w:bookmarkEnd w:id="0"/>
      <w:r>
        <w:rPr>
          <w:rFonts w:ascii="Times New Roman" w:hAnsi="Times New Roman"/>
          <w:b/>
          <w:color w:val="000000"/>
          <w:sz w:val="28"/>
        </w:rPr>
        <w:t>1 Introduction</w:t>
      </w:r>
    </w:p>
    <w:p>
      <w:pPr>
        <w:pStyle w:val="Heading3"/>
      </w:pPr>
      <w:r>
        <w:rPr>
          <w:rFonts w:ascii="Times New Roman" w:hAnsi="Times New Roman"/>
          <w:b/>
          <w:color w:val="000000"/>
          <w:sz w:val="24"/>
        </w:rPr>
        <w:t>1.1 The combination problem that was skipped</w:t>
      </w:r>
    </w:p>
    <w:p>
      <w:pPr>
        <w:ind w:firstLine="360"/>
        <w:jc w:val="both"/>
      </w:pPr>
      <w:r>
        <w:t xml:space="preserve">The closed loop of "what difficulty to present next" consists of three stages: measurement (how difficulty becomes commensurable, M1), combination (how multiple log signals are fused into one difficulty score, this paper), and decision (how the difficulty score drives item selection, M3).The middle combination stage is usually handled </w:t>
      </w:r>
      <w:r>
        <w:rPr>
          <w:b/>
        </w:rPr>
        <w:t>implicitly</w:t>
      </w:r>
      <w:r>
        <w:t xml:space="preserve"> in engineering — </w:t>
      </w:r>
      <w:r>
        <w:rPr>
          <w:rFonts w:ascii="Courier New" w:hAnsi="Courier New"/>
          <w:sz w:val="22"/>
        </w:rPr>
        <w:t>srw7</w:t>
      </w:r>
      <w:r>
        <w:t xml:space="preserve"> serially stitches together "sign correction + split-half reliability weighting + sample-size shrinkage" without answering a prior question: </w:t>
      </w:r>
      <w:r>
        <w:rPr>
          <w:b/>
        </w:rPr>
        <w:t>when several signals are mutually correlated and each carries a different reliability, what should the combination weights be?</w:t>
      </w:r>
      <w:r>
        <w:t xml:space="preserve"> This omission can fail on two falsifiable structural properties.</w:t>
      </w:r>
    </w:p>
    <w:p>
      <w:pPr>
        <w:ind w:firstLine="360"/>
        <w:jc w:val="both"/>
      </w:pPr>
      <w:r>
        <w:t xml:space="preserve">First, </w:t>
      </w:r>
      <w:r>
        <w:rPr>
          <w:b/>
        </w:rPr>
        <w:t>collinearity</w:t>
      </w:r>
      <w:r>
        <w:t xml:space="preserve"> between signals: </w:t>
      </w:r>
      <w:r>
        <w:rPr>
          <w:rFonts w:ascii="Courier New" w:hAnsi="Courier New"/>
          <w:sz w:val="22"/>
        </w:rPr>
        <w:t>attempt_count</w:t>
      </w:r>
      <w:r>
        <w:t xml:space="preserve"> and </w:t>
      </w:r>
      <w:r>
        <w:rPr>
          <w:rFonts w:ascii="Courier New" w:hAnsi="Courier New"/>
          <w:sz w:val="22"/>
        </w:rPr>
        <w:t>duration</w:t>
      </w:r>
      <w:r>
        <w:t xml:space="preserve"> both inflate together when a student is stuck, so weighting each by its reliability would double-count the same information.Second, reliability ≠ validity: an auxiliary signal with very high reliability (e.g., student self-report) that has no incremental correlation with the teacher's true difficulty only amplifies noise if weighted more heavily.This paper rewrites both properties as measurable propositions and tests on an exogenous criterion whether M4 actually improves the combination.</w:t>
      </w:r>
    </w:p>
    <w:p>
      <w:pPr>
        <w:pStyle w:val="Heading3"/>
      </w:pPr>
      <w:r>
        <w:rPr>
          <w:rFonts w:ascii="Times New Roman" w:hAnsi="Times New Roman"/>
          <w:b/>
          <w:color w:val="000000"/>
          <w:sz w:val="24"/>
        </w:rPr>
        <w:t>1.2 From design to execution: what we actually did, and why</w:t>
      </w:r>
    </w:p>
    <w:p>
      <w:pPr>
        <w:ind w:firstLine="360"/>
        <w:jc w:val="both"/>
      </w:pPr>
      <w:r>
        <w:t>This paper was executed from algorithm ideas optimized out of the supervisor-recommended archive (</w:t>
      </w:r>
      <w:r>
        <w:rPr>
          <w:rFonts w:ascii="Courier New" w:hAnsi="Courier New"/>
          <w:sz w:val="22"/>
        </w:rPr>
        <w:t>발송_20260922.zip</w:t>
      </w:r>
      <w:r>
        <w:t xml:space="preserve">, papers R1–R12).During execution we encountered, and honestly report, a result that runs against the "better" intuition: on the </w:t>
      </w:r>
      <w:r>
        <w:rPr>
          <w:b/>
        </w:rPr>
        <w:t>exogenous</w:t>
      </w:r>
      <w:r>
        <w:t xml:space="preserve"> DBE-KT22 teacher-label criterion, the structurally "more correct" M4 (M4-A/B/C) is actually worse than </w:t>
      </w:r>
      <w:r>
        <w:rPr>
          <w:rFonts w:ascii="Courier New" w:hAnsi="Courier New"/>
          <w:sz w:val="22"/>
        </w:rPr>
        <w:t>srw7</w:t>
      </w:r>
      <w:r>
        <w:t xml:space="preserve"> and collapses as sample size grows.This negative result is not an implementation bug but a boundary of M4-B's single-factor-model assumption — when an auxiliary signal carries specific variance that is "collinear with the success rate but uncorrelated with teacher difficulty," β = V⁻¹q weights it more heavily.Motivated by this, we appended M4-E (residualization), which constrains the combination term to "the increment beyond the success rate," and measured that it repairs the collapse.</w:t>
      </w:r>
    </w:p>
    <w:p>
      <w:pPr>
        <w:ind w:firstLine="360"/>
        <w:jc w:val="both"/>
      </w:pPr>
      <w:r>
        <w:t>This appendage is the most engineering-valuable part of the paper and a direct application of the "reliability ≠ validity" theoretical boundary.</w:t>
      </w:r>
    </w:p>
    <w:p>
      <w:pPr>
        <w:ind w:firstLine="360"/>
        <w:jc w:val="both"/>
      </w:pPr>
      <w:r>
        <w:t xml:space="preserve">This paper has a clearly demarcated division of labor with its companion papers M1/M2/M3.M1 answers "how difficulty becomes commensurable" (ECDF–logit rank linking, holdout validation, sign correction, and split-half-reliability-weighted </w:t>
      </w:r>
      <w:r>
        <w:rPr>
          <w:rFonts w:ascii="Courier New" w:hAnsi="Courier New"/>
          <w:sz w:val="22"/>
        </w:rPr>
        <w:t>srw7</w:t>
      </w:r>
      <w:r>
        <w:t xml:space="preserve">); M2 answers "how conflicts in a system with coexisting interventions are governed"; M3 answers "ordinal difficulty decisions and the reliability boundary of a single-model LLM difficulty prior." This paper (M4) answers the fourth question in between — </w:t>
      </w:r>
      <w:r>
        <w:rPr>
          <w:b/>
        </w:rPr>
        <w:t>under cold-start conditions with only logs and no external difficulty labels, how should multiple difficulty signals be combined</w:t>
      </w:r>
      <w:r>
        <w:t>.</w:t>
      </w:r>
    </w:p>
    <w:p>
      <w:pPr>
        <w:ind w:firstLine="360"/>
        <w:jc w:val="both"/>
      </w:pPr>
      <w:r>
        <w:t xml:space="preserve">M4 neither contains nor modifies M1's </w:t>
      </w:r>
      <w:r>
        <w:rPr>
          <w:rFonts w:ascii="Courier New" w:hAnsi="Courier New"/>
          <w:sz w:val="22"/>
        </w:rPr>
        <w:t>difficulty_fusion</w:t>
      </w:r>
      <w:r>
        <w:t xml:space="preserve"> layer (estimators such as </w:t>
      </w:r>
      <w:r>
        <w:rPr>
          <w:rFonts w:ascii="Courier New" w:hAnsi="Courier New"/>
          <w:sz w:val="22"/>
        </w:rPr>
        <w:t>srw7</w:t>
      </w:r>
      <w:r>
        <w:t xml:space="preserve"> remain special cases of M4; see the degeneration proof in §3.3); its holdout validation follows M1's protocol framework but uses an independent script and artifacts, so for identical quantities the values in this paper's </w:t>
      </w:r>
      <w:r>
        <w:rPr>
          <w:rFonts w:ascii="Courier New" w:hAnsi="Courier New"/>
          <w:sz w:val="22"/>
        </w:rPr>
        <w:t>m4_results.json</w:t>
      </w:r>
      <w:r>
        <w:t xml:space="preserve"> take precedence (readers citing specific numbers should cite this paper's table numbers to avoid drift from the M1 version).</w:t>
      </w:r>
    </w:p>
    <w:p>
      <w:pPr>
        <w:pStyle w:val="Heading3"/>
      </w:pPr>
      <w:r>
        <w:rPr>
          <w:rFonts w:ascii="Times New Roman" w:hAnsi="Times New Roman"/>
          <w:b/>
          <w:color w:val="000000"/>
          <w:sz w:val="24"/>
        </w:rPr>
        <w:t>1.3 Literature progress and our positioning</w:t>
      </w:r>
    </w:p>
    <w:p>
      <w:pPr>
        <w:ind w:firstLine="360"/>
        <w:jc w:val="both"/>
      </w:pPr>
      <w:r>
        <w:t xml:space="preserve">Multi-signal difficulty fusion has produced two sharply opposed camps on the LLM-annotation side.The </w:t>
      </w:r>
      <w:r>
        <w:rPr>
          <w:b/>
        </w:rPr>
        <w:t>optimistic camp</w:t>
      </w:r>
      <w:r>
        <w:t xml:space="preserve">, represented by Ballon, Algaba, Verbeken, and Ginis (2025, LLMcompare), uses LLM pairwise comparison + Bradley–Terry aggregation and reaches Pearson r ≥ 0.80 with human annotation.The </w:t>
      </w:r>
      <w:r>
        <w:rPr>
          <w:b/>
        </w:rPr>
        <w:t>pessimistic camp</w:t>
      </w:r>
      <w:r>
        <w:t xml:space="preserve">, represented by Li, Chen, Xiao, Chen, Jiao, and Zhou (2026, </w:t>
      </w:r>
      <w:r>
        <w:rPr>
          <w:rFonts w:ascii="Courier New" w:hAnsi="Courier New"/>
          <w:sz w:val="22"/>
        </w:rPr>
        <w:t>li2026canllms</w:t>
      </w:r>
      <w:r>
        <w:t xml:space="preserve">, Findings of ACL 2026), finds across 20+ models × 4 domains a mean Spearman ρ &lt; 0.5 versus human difficulty, with model self-assessment AUROC ≈ 0.55 (near random).Kolesnikova et al.(2026, </w:t>
      </w:r>
      <w:r>
        <w:rPr>
          <w:rFonts w:ascii="Courier New" w:hAnsi="Courier New"/>
          <w:sz w:val="22"/>
        </w:rPr>
        <w:t>kolesnikova2026itemdifficulty</w:t>
      </w:r>
      <w:r>
        <w:t xml:space="preserve">) systematically test judgment form × decision type × prompting strategy with a </w:t>
      </w:r>
      <w:r>
        <w:rPr>
          <w:b/>
        </w:rPr>
        <w:t>full-factorial design</w:t>
      </w:r>
      <w:r>
        <w:t xml:space="preserve"> and establish the norm that "</w:t>
      </w:r>
      <w:r>
        <w:rPr>
          <w:b/>
        </w:rPr>
        <w:t>analytic success rate must be a mandatory reported item in protocol results</w:t>
      </w:r>
      <w:r>
        <w:t>," which we adopt in §4.3.</w:t>
      </w:r>
    </w:p>
    <w:p>
      <w:pPr>
        <w:ind w:firstLine="360"/>
        <w:jc w:val="both"/>
      </w:pPr>
      <w:r>
        <w:t xml:space="preserve">On the gain route, Razavi and Powers (2026, </w:t>
      </w:r>
      <w:r>
        <w:rPr>
          <w:rFonts w:ascii="Courier New" w:hAnsi="Courier New"/>
          <w:sz w:val="22"/>
        </w:rPr>
        <w:t>razavi2026itemdifficulty</w:t>
      </w:r>
      <w:r>
        <w:t xml:space="preserve">) use LLM-extracted cognitive-linguistic features + tree ensembles (RF/GBM) to reach r = 0.87 — a </w:t>
      </w:r>
      <w:r>
        <w:rPr>
          <w:b/>
        </w:rPr>
        <w:t>direct competing route</w:t>
      </w:r>
      <w:r>
        <w:t xml:space="preserve"> to this paper; in §6.3 we state explicitly: we do </w:t>
      </w:r>
      <w:r>
        <w:rPr>
          <w:b/>
        </w:rPr>
        <w:t>not</w:t>
      </w:r>
      <w:r>
        <w:t xml:space="preserve"> adopt their tree-ensemble method and do </w:t>
      </w:r>
      <w:r>
        <w:rPr>
          <w:b/>
        </w:rPr>
        <w:t>not</w:t>
      </w:r>
      <w:r>
        <w:t xml:space="preserve"> use their 0.87 as a superior benchmark for our system, citing it only as literature/attribution.Castleman, Macar, and Salleb-Aouissi (2024, </w:t>
      </w:r>
      <w:r>
        <w:rPr>
          <w:rFonts w:ascii="Courier New" w:hAnsi="Courier New"/>
          <w:sz w:val="22"/>
        </w:rPr>
        <w:t>castleman2024hierarchical</w:t>
      </w:r>
      <w:r>
        <w:t>) give a hierarchical-MAB intelligent tutor ("concept MAB + problem MAB + difficulty awareness") as a deployment paradigm; our combination estimator is one concrete implementation of its difficulty-awareness module under cold-start conditions.</w:t>
      </w:r>
    </w:p>
    <w:p>
      <w:pPr>
        <w:ind w:firstLine="360"/>
        <w:jc w:val="both"/>
      </w:pPr>
      <w:r>
        <w:t xml:space="preserve">On "optimal difficulty," Wilson, Shenhav, Straccia, and Cohen (2019, </w:t>
      </w:r>
      <w:r>
        <w:rPr>
          <w:rFonts w:ascii="Courier New" w:hAnsi="Courier New"/>
          <w:sz w:val="22"/>
        </w:rPr>
        <w:t>wilson2019eightyfive</w:t>
      </w:r>
      <w:r>
        <w:t xml:space="preserve">, </w:t>
      </w:r>
      <w:r>
        <w:rPr>
          <w:i/>
        </w:rPr>
        <w:t>Nature Communications</w:t>
      </w:r>
      <w:r>
        <w:t xml:space="preserve">) give a computable anchor of optimal training error rate ≈ 15.87% (i.e., optimal correct rate ≈ 85%); in §3.2 we point out that this optimal error rate, like M4's auxiliary-signal budget, is a function of the task error structure rather than a universal constant, and on that basis we explicitly exclude several specific percentages from the recommendation report (R2's 31.73%, R10's 12.5%/50%/7.6%) from this paper's decision tables.This recognition that "optimal" varies with learner state is isomorphic to the </w:t>
      </w:r>
      <w:r>
        <w:rPr>
          <w:b/>
        </w:rPr>
        <w:t>challenge-point framework</w:t>
      </w:r>
      <w:r>
        <w:t xml:space="preserve"> of Guadagnoli and Lee (2004, </w:t>
      </w:r>
      <w:r>
        <w:rPr>
          <w:rFonts w:ascii="Courier New" w:hAnsi="Courier New"/>
          <w:sz w:val="22"/>
        </w:rPr>
        <w:t>guadagnoli2004challengepoint</w:t>
      </w:r>
      <w:r>
        <w:t>): the optimal practice difficulty is jointly determined by task difficulty and learner proficiency, not a fixed constant.</w:t>
      </w:r>
    </w:p>
    <w:p>
      <w:pPr>
        <w:pStyle w:val="Heading3"/>
      </w:pPr>
      <w:r>
        <w:rPr>
          <w:rFonts w:ascii="Times New Roman" w:hAnsi="Times New Roman"/>
          <w:b/>
          <w:color w:val="000000"/>
          <w:sz w:val="24"/>
        </w:rPr>
        <w:t>1.4 Contributions of this paper</w:t>
      </w:r>
    </w:p>
    <w:p>
      <w:pPr>
        <w:ind w:firstLine="360"/>
        <w:jc w:val="both"/>
      </w:pPr>
      <w:r>
        <w:rPr>
          <w:b/>
        </w:rPr>
        <w:t>M4-A/B/C/D — a reliability-structured combination chain (formalization + degeneration proof).</w:t>
      </w:r>
      <w:r>
        <w:t xml:space="preserve"> M4-A estimates the signal covariance V on </w:t>
      </w:r>
      <w:r>
        <w:rPr>
          <w:b/>
        </w:rPr>
        <w:t>rank correlation</w:t>
      </w:r>
      <w:r>
        <w:t xml:space="preserve">, robust to the tails of the ECDF–logit transform and preserving the monotonic-reparametrization invariance of M1/O1.M4-B gives β = V⁻¹q (q_k = sgn_k√ρ_k) under the single-factor model z_k = √ρ_k·t + √(1−ρ_k)·ε_k, where V⁻¹ </w:t>
      </w:r>
      <w:r>
        <w:rPr>
          <w:b/>
        </w:rPr>
        <w:t>automatically removes inter-column collinearity</w:t>
      </w:r>
      <w:r>
        <w:t xml:space="preserve"> and sign correction is absorbed into q.M4-C makes λ = Σ|β_aux|/Σ|β| derived from β — a </w:t>
      </w:r>
      <w:r>
        <w:rPr>
          <w:b/>
        </w:rPr>
        <w:t>diagnostic quantity rather than an empirical power-law hyperparameter</w:t>
      </w:r>
      <w:r>
        <w:t>.M4-D assigns each item a local reliability via the general Spearman–Brown form ρ(n) = nρ₁/(1+(n−1)ρ₁) under partial observability.</w:t>
      </w:r>
    </w:p>
    <w:p>
      <w:pPr>
        <w:ind w:firstLine="360"/>
        <w:jc w:val="both"/>
      </w:pPr>
      <w:r>
        <w:rPr>
          <w:b/>
        </w:rPr>
        <w:t>Degeneration proof</w:t>
      </w:r>
      <w:r>
        <w:t xml:space="preserve"> (§3.3): on the manifold V → I (columns uncorrelated) with q_k = sgn_k√ρ_k, M4-B degenerates to √ρ/(1−ρ) weighting (the ablation variant </w:t>
      </w:r>
      <w:r>
        <w:rPr>
          <w:rFonts w:ascii="Courier New" w:hAnsi="Courier New"/>
          <w:sz w:val="22"/>
        </w:rPr>
        <w:t>m4_W</w:t>
      </w:r>
      <w:r>
        <w:t xml:space="preserve">); </w:t>
      </w:r>
      <w:r>
        <w:rPr>
          <w:rFonts w:ascii="Courier New" w:hAnsi="Courier New"/>
          <w:sz w:val="22"/>
        </w:rPr>
        <w:t>srw7</w:t>
      </w:r>
      <w:r>
        <w:t xml:space="preserve">'s w_k ∝ ρ_k is the approximation on this manifold that drops the (1−ρ) error-correction term; introducing the V⁻¹ collinearity correction gives </w:t>
      </w:r>
      <w:r>
        <w:rPr>
          <w:rFonts w:ascii="Courier New" w:hAnsi="Courier New"/>
          <w:sz w:val="22"/>
        </w:rPr>
        <w:t>m4_WV</w:t>
      </w:r>
      <w:r>
        <w:t xml:space="preserve">, and removing the external λ gives </w:t>
      </w:r>
      <w:r>
        <w:rPr>
          <w:rFonts w:ascii="Courier New" w:hAnsi="Courier New"/>
          <w:sz w:val="22"/>
        </w:rPr>
        <w:t>m4_full</w:t>
      </w:r>
      <w:r>
        <w:t xml:space="preserve"> — the four show a nested τ ordering in the experiments.</w:t>
      </w:r>
    </w:p>
    <w:p>
      <w:pPr>
        <w:ind w:firstLine="360"/>
        <w:jc w:val="both"/>
      </w:pPr>
      <w:r>
        <w:rPr>
          <w:b/>
        </w:rPr>
        <w:t>Proposition P1 — under additively separable evidence, pairwise BT aggregation degenerates to linear combination (analytic proof + numerical companion).</w:t>
      </w:r>
      <w:r>
        <w:t xml:space="preserve"> If the pairwise evidence is additively separable in the logit domain, y_ij = Σ_k α_k(z_ki − z_kj) = u_i − u_j, then the BT maximum-likelihood solution is d = u (the normal-equation residual is identically 0): "pairwise-compare then BT-aggregate" and "directly weighted-linear-combine" give the same ranking.Numerical companion: all 384 BT solves converged (‖∇ℓ‖_∞ = 1e-11), and the minimum Spearman between the two additively-separable rules and u is 1.0; the two separability violations (probability-domain averaging, per-pair missingness) reach maxima of 1.0 and 0.996992 respectively.Mechanism diagnosis shows probability-domain averaging implicitly moves toward precision weighting (ρ = 0.96404 vs.</w:t>
      </w:r>
    </w:p>
    <w:p>
      <w:pPr>
        <w:ind w:firstLine="360"/>
        <w:jc w:val="both"/>
      </w:pPr>
      <w:r>
        <w:t xml:space="preserve">0.939289) — exactly what M4-B wants to capture explicitly — but P1 also proves that </w:t>
      </w:r>
      <w:r>
        <w:rPr>
          <w:b/>
        </w:rPr>
        <w:t>violating additive separability does not automatically bring a gain</w:t>
      </w:r>
      <w:r>
        <w:t>; any gain must be checked against an exogenous criterion (the DBE collapse in §5.2 is its counter-example).</w:t>
      </w:r>
    </w:p>
    <w:p>
      <w:pPr>
        <w:ind w:firstLine="360"/>
        <w:jc w:val="both"/>
      </w:pPr>
      <w:r>
        <w:rPr>
          <w:b/>
        </w:rPr>
        <w:t>Negative result + M4-E residualization repair (exogenous criterion).</w:t>
      </w:r>
      <w:r>
        <w:t xml:space="preserve"> On the DBE-KT22 teacher labels (exogenous), the full M4 estimator collapses with k (k=200 τ_b = 0.0796, Δ = −0.0903, win-rate 0.00); the root cause is that the derived λ rises with k (0.8734) while the out-of-fold optimal λ approaches zero (0.015). M4-E residualizes the auxiliary columns against the reference column, keeping only the increment, and repairs the collapse (k=200 τ_b = 0.1718, Δ = +0.0019, paired t = 5.66, win-rate 0.90). On the Junyi platform labels (secondary), the full M4 estimator wins everywhere (k=200 Δ = +0.0708, win-rate 1.00), and M4-E remains positive (Δ = +0.0073, win-rate 1.00) — </w:t>
      </w:r>
      <w:r>
        <w:rPr>
          <w:b/>
        </w:rPr>
        <w:t>gain/loss depends entirely on the criterion</w:t>
      </w:r>
      <w:r>
        <w:t>, the core honest conclusion of this paper.</w:t>
      </w:r>
    </w:p>
    <w:p>
      <w:pPr>
        <w:ind w:firstLine="360"/>
        <w:jc w:val="both"/>
      </w:pPr>
      <w:r>
        <w:rPr>
          <w:b/>
        </w:rPr>
        <w:t>Reliability ≠ validity (formal boundary).</w:t>
      </w:r>
      <w:r>
        <w:t xml:space="preserve"> §3.2 proves on the single-factor model that M4's β = V⁻¹q maximizes the correlation between the combination and the latent variable t (reliability), but when an auxiliary signal carries specific variance "unrelated to the validity target," β's heavier weighting lowers the correlation with the teacher's true difficulty (validity). This boundary theoretically delineates why an exogenous criterion is indispensable and has been landed as code comments and as a design principle of this paper's experimental protocol (code evidence: </w:t>
      </w:r>
      <w:r>
        <w:rPr>
          <w:rFonts w:ascii="Courier New" w:hAnsi="Courier New"/>
          <w:sz w:val="22"/>
        </w:rPr>
        <w:t>app/services/difficulty_m4.py:38-44</w:t>
      </w:r>
      <w:r>
        <w:t>).</w:t>
      </w:r>
    </w:p>
    <w:p>
      <w:pPr>
        <w:ind w:firstLine="360"/>
        <w:jc w:val="both"/>
      </w:pPr>
      <w:r>
        <w:rPr>
          <w:b/>
        </w:rPr>
        <w:t>Engineering landing.</w:t>
      </w:r>
      <w:r>
        <w:t xml:space="preserve"> M4 has been landed as </w:t>
      </w:r>
      <w:r>
        <w:rPr>
          <w:rFonts w:ascii="Courier New" w:hAnsi="Courier New"/>
          <w:sz w:val="22"/>
        </w:rPr>
        <w:t>learnflow-backend/app/services/difficulty_m4.py</w:t>
      </w:r>
      <w:r>
        <w:t xml:space="preserve">, adding </w:t>
      </w:r>
      <w:r>
        <w:rPr>
          <w:rFonts w:ascii="Courier New" w:hAnsi="Courier New"/>
          <w:sz w:val="22"/>
        </w:rPr>
        <w:t>incremental_columns</w:t>
      </w:r>
      <w:r>
        <w:t xml:space="preserve"> (M4-E, </w:t>
      </w:r>
      <w:r>
        <w:rPr>
          <w:rFonts w:ascii="Courier New" w:hAnsi="Courier New"/>
          <w:sz w:val="22"/>
        </w:rPr>
        <w:t>:261</w:t>
      </w:r>
      <w:r>
        <w:t xml:space="preserve">), </w:t>
      </w:r>
      <w:r>
        <w:rPr>
          <w:rFonts w:ascii="Courier New" w:hAnsi="Courier New"/>
          <w:sz w:val="22"/>
        </w:rPr>
        <w:t>estimate_m4_difficulty</w:t>
      </w:r>
      <w:r>
        <w:t xml:space="preserve"> (with </w:t>
      </w:r>
      <w:r>
        <w:rPr>
          <w:rFonts w:ascii="Courier New" w:hAnsi="Courier New"/>
          <w:sz w:val="22"/>
        </w:rPr>
        <w:t>residualize</w:t>
      </w:r>
      <w:r>
        <w:t>/</w:t>
      </w:r>
      <w:r>
        <w:rPr>
          <w:rFonts w:ascii="Courier New" w:hAnsi="Courier New"/>
          <w:sz w:val="22"/>
        </w:rPr>
        <w:t>reference_weight</w:t>
      </w:r>
      <w:r>
        <w:t>/</w:t>
      </w:r>
      <w:r>
        <w:rPr>
          <w:rFonts w:ascii="Courier New" w:hAnsi="Courier New"/>
          <w:sz w:val="22"/>
        </w:rPr>
        <w:t>drop</w:t>
      </w:r>
      <w:r>
        <w:t xml:space="preserve"> parameters, </w:t>
      </w:r>
      <w:r>
        <w:rPr>
          <w:rFonts w:ascii="Courier New" w:hAnsi="Courier New"/>
          <w:sz w:val="22"/>
        </w:rPr>
        <w:t>:304</w:t>
      </w:r>
      <w:r>
        <w:t xml:space="preserve">), etc.; §3.5 performs an efficiency optimization that factors out the rank matrix for the per-item β path (zero precision cost, </w:t>
      </w:r>
      <w:r>
        <w:rPr>
          <w:rFonts w:ascii="Courier New" w:hAnsi="Courier New"/>
          <w:sz w:val="22"/>
        </w:rPr>
        <w:t>:166-182</w:t>
      </w:r>
      <w:r>
        <w:t xml:space="preserve">, </w:t>
      </w:r>
      <w:r>
        <w:rPr>
          <w:rFonts w:ascii="Courier New" w:hAnsi="Courier New"/>
          <w:sz w:val="22"/>
        </w:rPr>
        <w:t>:407-437</w:t>
      </w:r>
      <w:r>
        <w:t xml:space="preserve">). The test suite </w:t>
      </w:r>
      <w:r>
        <w:rPr>
          <w:rFonts w:ascii="Courier New" w:hAnsi="Courier New"/>
          <w:sz w:val="22"/>
        </w:rPr>
        <w:t>tests/test_difficulty_m4.py</w:t>
      </w:r>
      <w:r>
        <w:t xml:space="preserve"> now has 44 cases (33 baseline + </w:t>
      </w:r>
      <w:r>
        <w:rPr>
          <w:rFonts w:ascii="Courier New" w:hAnsi="Courier New"/>
          <w:sz w:val="22"/>
        </w:rPr>
        <w:t>TestResidualization</w:t>
      </w:r>
      <w:r>
        <w:t xml:space="preserve"> 7 + </w:t>
      </w:r>
      <w:r>
        <w:rPr>
          <w:rFonts w:ascii="Courier New" w:hAnsi="Courier New"/>
          <w:sz w:val="22"/>
        </w:rPr>
        <w:t>TestEfficiencyRefactor</w:t>
      </w:r>
      <w:r>
        <w:t xml:space="preserve"> 4); an offline rerun gives </w:t>
      </w:r>
      <w:r>
        <w:rPr>
          <w:b/>
        </w:rPr>
        <w:t>44 PASS / 0 FAIL</w:t>
      </w:r>
      <w:r>
        <w:t>, and the existing bit-exact gate is untouched (rerun command in §5 footnotes).</w:t>
      </w:r>
    </w:p>
    <w:p>
      <w:pPr>
        <w:pStyle w:val="Heading3"/>
      </w:pPr>
      <w:r>
        <w:rPr>
          <w:rFonts w:ascii="Times New Roman" w:hAnsi="Times New Roman"/>
          <w:b/>
          <w:color w:val="000000"/>
          <w:sz w:val="24"/>
        </w:rPr>
        <w:t>1.5 Structure of this paper</w:t>
      </w:r>
    </w:p>
    <w:p>
      <w:pPr>
        <w:ind w:firstLine="360"/>
        <w:jc w:val="both"/>
      </w:pPr>
      <w:r>
        <w:t>§2 reviews related work; §3 gives the formalization of M4 (analytic proof of Proposition P1, the reliability ≠ validity boundary, the M4-A/B/C/D degeneration proof, M4-E) and an implementation-efficiency optimization (§3.5); §4 describes the data, protocols, and statistical tests; §5 reports five groups of measurements; §6 discusses; §7 lists threats to validity and honest gaps; §8 concludes.</w:t>
      </w:r>
    </w:p>
    <w:p>
      <w:bookmarkStart w:id="1" w:name="section-2"/>
      <w:pPr>
        <w:pStyle w:val="Heading2"/>
      </w:pPr>
      <w:bookmarkEnd w:id="1"/>
      <w:r>
        <w:rPr>
          <w:rFonts w:ascii="Times New Roman" w:hAnsi="Times New Roman"/>
          <w:b/>
          <w:color w:val="000000"/>
          <w:sz w:val="28"/>
        </w:rPr>
        <w:t>2 Related Work</w:t>
      </w:r>
    </w:p>
    <w:p>
      <w:pPr>
        <w:pStyle w:val="Heading3"/>
      </w:pPr>
      <w:r>
        <w:rPr>
          <w:rFonts w:ascii="Times New Roman" w:hAnsi="Times New Roman"/>
          <w:b/>
          <w:color w:val="000000"/>
          <w:sz w:val="24"/>
        </w:rPr>
        <w:t>2.1 Multi-signal difficulty fusion and reliability weighting</w:t>
      </w:r>
    </w:p>
    <w:p>
      <w:pPr>
        <w:ind w:firstLine="360"/>
        <w:jc w:val="both"/>
      </w:pPr>
      <w:r>
        <w:t>Combining multiple log signals into a difficulty score most naively uses equal-weight averaging (</w:t>
      </w:r>
      <w:r>
        <w:rPr>
          <w:rFonts w:ascii="Courier New" w:hAnsi="Courier New"/>
          <w:sz w:val="22"/>
        </w:rPr>
        <w:t>fused6</w:t>
      </w:r>
      <w:r>
        <w:t>) or equal-weight after sign correction (</w:t>
      </w:r>
      <w:r>
        <w:rPr>
          <w:rFonts w:ascii="Courier New" w:hAnsi="Courier New"/>
          <w:sz w:val="22"/>
        </w:rPr>
        <w:t>signed7</w:t>
      </w:r>
      <w:r>
        <w:t xml:space="preserve">); the more refined </w:t>
      </w:r>
      <w:r>
        <w:rPr>
          <w:rFonts w:ascii="Courier New" w:hAnsi="Courier New"/>
          <w:sz w:val="22"/>
        </w:rPr>
        <w:t>srw7</w:t>
      </w:r>
      <w:r>
        <w:t xml:space="preserve"> introduces per-column split-half reliability weighting and sample-size shrinkage λ(k).These methods are correct at the </w:t>
      </w:r>
      <w:r>
        <w:rPr>
          <w:b/>
        </w:rPr>
        <w:t>reliability level</w:t>
      </w:r>
      <w:r>
        <w:t xml:space="preserve"> (higher-reliability columns get higher weight) but none handles inter-column collinearity (two correlated signals double-counted) or reliability ≠ validity (high weight ≠ useful for true difficulty).</w:t>
      </w:r>
    </w:p>
    <w:p>
      <w:pPr>
        <w:ind w:firstLine="360"/>
        <w:jc w:val="both"/>
      </w:pPr>
      <w:r>
        <w:t xml:space="preserve">M4-B's β = V⁻¹q is the direct application, in the difficulty-combination setting, of the standard psychometric result of optimal linear combination under a single-factor model; M4-C derives λ from β rather than fitting it empirically, in contrast to M1/O8's λ_cf(k) = 1/(1+(k/27.3)^0.895) (k = 10/25/50/100/200 → 0.7107/0.5197/0.3678/0.2383/0.144; evidence: </w:t>
      </w:r>
      <w:r>
        <w:rPr>
          <w:rFonts w:ascii="Courier New" w:hAnsi="Courier New"/>
          <w:sz w:val="22"/>
        </w:rPr>
        <w:t>docs/_重写规范_事实基线与学术体例.md</w:t>
      </w:r>
      <w:r>
        <w:t xml:space="preserve"> Table A-1) — M4 argues this constant is not universal and should be data-derived.</w:t>
      </w:r>
    </w:p>
    <w:p>
      <w:pPr>
        <w:pStyle w:val="Heading3"/>
      </w:pPr>
      <w:r>
        <w:rPr>
          <w:rFonts w:ascii="Times New Roman" w:hAnsi="Times New Roman"/>
          <w:b/>
          <w:color w:val="000000"/>
          <w:sz w:val="24"/>
        </w:rPr>
        <w:t>2.2 Two camps on LLM difficulty annotation and protocol analyticity</w:t>
      </w:r>
    </w:p>
    <w:p>
      <w:pPr>
        <w:ind w:firstLine="360"/>
        <w:jc w:val="both"/>
      </w:pPr>
      <w:r>
        <w:t xml:space="preserve">The disagreement between the optimists (Ballon et al., 2025) and the pessimists (Li et al., 2026, </w:t>
      </w:r>
      <w:r>
        <w:rPr>
          <w:rFonts w:ascii="Courier New" w:hAnsi="Courier New"/>
          <w:sz w:val="22"/>
        </w:rPr>
        <w:t>li2026canllms</w:t>
      </w:r>
      <w:r>
        <w:t xml:space="preserve">) currently stays at the annotation layer.Kolesnikova et al.(2026, </w:t>
      </w:r>
      <w:r>
        <w:rPr>
          <w:rFonts w:ascii="Courier New" w:hAnsi="Courier New"/>
          <w:sz w:val="22"/>
        </w:rPr>
        <w:t>kolesnikova2026itemdifficulty</w:t>
      </w:r>
      <w:r>
        <w:t xml:space="preserve">), with a full-factorial design, show that the interaction of </w:t>
      </w:r>
      <w:r>
        <w:rPr>
          <w:b/>
        </w:rPr>
        <w:t>judgment form (absolute vs.pairwise) × decision type (hard decision vs.token probability) × prompting strategy</w:t>
      </w:r>
      <w:r>
        <w:t xml:space="preserve"> is significant, and that analytic success rate must be a mandatory reported item of the results table — we adopt this norm into our protocol-reporting discipline in §4.3.</w:t>
      </w:r>
    </w:p>
    <w:p>
      <w:pPr>
        <w:ind w:firstLine="360"/>
        <w:jc w:val="both"/>
      </w:pPr>
      <w:r>
        <w:t>We take no side between the two camps; instead we use the mechanism diagnosis of Proposition P1 (probability-domain averaging implicitly does precision weighting) as a bridge connecting them: what LLM judges actually do is probability-domain averaging (P1's R3 rule), and its source of benefit is exactly the precision weighting M4-B wants to capture explicitly.</w:t>
      </w:r>
    </w:p>
    <w:p>
      <w:pPr>
        <w:pStyle w:val="Heading3"/>
      </w:pPr>
      <w:r>
        <w:rPr>
          <w:rFonts w:ascii="Times New Roman" w:hAnsi="Times New Roman"/>
          <w:b/>
          <w:color w:val="000000"/>
          <w:sz w:val="24"/>
        </w:rPr>
        <w:t>2.3 The classical distinction between reliability and validity</w:t>
      </w:r>
    </w:p>
    <w:p>
      <w:pPr>
        <w:ind w:firstLine="360"/>
        <w:jc w:val="both"/>
      </w:pPr>
      <w:r>
        <w:t xml:space="preserve">Since Spearman–Brown's prophecy formula, psychometrics has distinguished </w:t>
      </w:r>
      <w:r>
        <w:rPr>
          <w:b/>
        </w:rPr>
        <w:t>reliability</w:t>
      </w:r>
      <w:r>
        <w:t xml:space="preserve"> (consistency of measurement) from </w:t>
      </w:r>
      <w:r>
        <w:rPr>
          <w:b/>
        </w:rPr>
        <w:t>validity</w:t>
      </w:r>
      <w:r>
        <w:t xml:space="preserve"> (whether the measurement measures the intended construct).§3.2 of this paper operationalizes this distinction into a falsifiable boundary: M4 optimizes the reliability of the combination, while the exogenous teacher labels measure validity; when an auxiliary signal's specific variance is not aligned with the validity target, reliability optimization damages validity.This boundary dictates that our experimental design must take an </w:t>
      </w:r>
      <w:r>
        <w:rPr>
          <w:b/>
        </w:rPr>
        <w:t>exogenous</w:t>
      </w:r>
      <w:r>
        <w:t xml:space="preserve"> criterion as the gold standard rather than endogenous holdout error rate alone.</w:t>
      </w:r>
    </w:p>
    <w:p>
      <w:pPr>
        <w:ind w:firstLine="360"/>
        <w:jc w:val="both"/>
      </w:pPr>
      <w:r>
        <w:t xml:space="preserve">Reliability-weighted combination itself derives from the </w:t>
      </w:r>
      <w:r>
        <w:rPr>
          <w:b/>
        </w:rPr>
        <w:t>correction for attenuation</w:t>
      </w:r>
      <w:r>
        <w:t xml:space="preserve"> lineage of classical test theory — when several indicators load on the same latent variable, the optimal linear combination weight is proportional to each indicator's reliability (i.e., the degeneration of M4-B's β = V⁻¹q on the V → I manifold).Kolen and Brennan (2014, </w:t>
      </w:r>
      <w:r>
        <w:rPr>
          <w:rFonts w:ascii="Courier New" w:hAnsi="Courier New"/>
          <w:sz w:val="22"/>
        </w:rPr>
        <w:t>kolen2014testequating</w:t>
      </w:r>
      <w:r>
        <w:t>), in their systematic treatment of equating, scaling, and linking, further show that cross-instrument consistency measurement must distinguish "measuring the same construct" (equating) from "measuring the true value" (validity), resonating with the boundary of §3.2.</w:t>
      </w:r>
    </w:p>
    <w:p>
      <w:bookmarkStart w:id="2" w:name="section-3"/>
      <w:pPr>
        <w:pStyle w:val="Heading2"/>
      </w:pPr>
      <w:bookmarkEnd w:id="2"/>
      <w:r>
        <w:rPr>
          <w:rFonts w:ascii="Times New Roman" w:hAnsi="Times New Roman"/>
          <w:b/>
          <w:color w:val="000000"/>
          <w:sz w:val="28"/>
        </w:rPr>
        <w:t>3 Formalization of M4</w:t>
      </w:r>
    </w:p>
    <w:p>
      <w:pPr>
        <w:pStyle w:val="Heading3"/>
      </w:pPr>
      <w:r>
        <w:rPr>
          <w:rFonts w:ascii="Times New Roman" w:hAnsi="Times New Roman"/>
          <w:b/>
          <w:color w:val="000000"/>
          <w:sz w:val="24"/>
        </w:rPr>
        <w:t>3.1 Proposition P1: under additively separable evidence, pairwise BT aggregation degenerates to linear combination</w:t>
      </w:r>
    </w:p>
    <w:p>
      <w:pPr>
        <w:ind w:firstLine="360"/>
        <w:jc w:val="both"/>
      </w:pPr>
      <w:r>
        <w:rPr>
          <w:b/>
        </w:rPr>
        <w:t>Chapter summary (Chapter 3).</w:t>
      </w:r>
      <w:r>
        <w:t xml:space="preserve"> This chapter gives all the formalization foundations of M4. §3.1 proves and numerically verifies Proposition P1 — under additively separable log-odds evidence, pairwise Bradley–Terry aggregation and weighted linear combination give the same ranking, and the pairwise step itself produces no information gain; §3.2 formalizes the "reliability ≠ validity" boundary, delineating why our experiments must take an external criterion as the gold standard; §3.3 gives the formalization of the four M4-A/B/C/D improvements and the degeneration proof that "srw7 is a special case"; §3.4 gives the formalization of M4-E (residualization), motivated by the negative result of §5.2.</w:t>
      </w:r>
    </w:p>
    <w:p>
      <w:pPr>
        <w:ind w:firstLine="360"/>
        <w:jc w:val="both"/>
      </w:pPr>
      <w:r>
        <w:rPr>
          <w:b/>
        </w:rPr>
        <w:t>Proposition P1 (analytic).</w:t>
      </w:r>
      <w:r>
        <w:t xml:space="preserve"> Let each signal k's standardized value for item i be z_ki, and let u_i = Σ_k α_k z_ki. If the pairwise evidence from signal k is written p_ijk = σ(α_k(z_ki − z_kj)) and combined by </w:t>
      </w:r>
      <w:r>
        <w:rPr>
          <w:b/>
        </w:rPr>
        <w:t>adding in the logit domain</w:t>
      </w:r>
      <w:r>
        <w:t>,</w:t>
      </w:r>
    </w:p>
    <w:p>
      <w:pPr>
        <w:ind w:firstLine="360"/>
        <w:jc w:val="both"/>
      </w:pPr>
      <w:r>
        <w:t>$$y_{ij} = \sum_k \mathrm{logit}(p_{ijk}) = \sum_k \alpha_k(z_{ki} - z_{kj}) = u_i - u_j \quad\text{(additive separability)}$$</w:t>
      </w:r>
    </w:p>
    <w:p>
      <w:pPr>
        <w:ind w:firstLine="360"/>
        <w:jc w:val="both"/>
      </w:pPr>
      <w:r>
        <w:t>then the maximum-likelihood Bradley–Terry model P(i ≻ j) = σ(y_ij) satisfies d = u (the normal-equation residual is identically 0).</w:t>
      </w:r>
    </w:p>
    <w:p>
      <w:pPr>
        <w:ind w:firstLine="360"/>
        <w:jc w:val="both"/>
      </w:pPr>
      <w:r>
        <w:rPr>
          <w:b/>
        </w:rPr>
        <w:t>Proof.</w:t>
      </w:r>
      <w:r>
        <w:t xml:space="preserve"> The BT log-likelihood ℓ(d) = Σ_{i&lt;j}[W_ij log σ(d_i − d_j) + (1−W_ij) log σ(d_j − d_i)], where W_ij = σ(y_ij) = σ(u_i − u_j) (by additive separability). Taking the gradient at d = u: ∇_iℓ = Σ_{j≠i}[W_ij − σ(u_i − u_j)] = Σ_{j≠i}[σ(u_i − u_j) − σ(u_i − u_j)] = 0, so d = u is a stationary point. The negative Hessian −∇²ℓ is a complete-graph Laplacian with positive weights σ(1−σ) &gt; 0, strictly positive definite on the constraint hyperplane Σd_i = 0, so this stationary point is the unique maximum; hence d = u. Spearman rank correlation is invariant to translation, so ρ(d,u) = 1. ∎</w:t>
      </w:r>
    </w:p>
    <w:p>
      <w:pPr>
        <w:ind w:firstLine="360"/>
        <w:jc w:val="both"/>
      </w:pPr>
      <w:r>
        <w:rPr>
          <w:b/>
        </w:rPr>
        <w:t>Corollary.</w:t>
      </w:r>
      <w:r>
        <w:t xml:space="preserve"> The empirically observed "pairwise &gt; absolute" (Kolesnikova et al., 2026) cannot originate from the "pairwise" form itself; it can only come from the two realistic sources of </w:t>
      </w:r>
      <w:r>
        <w:rPr>
          <w:b/>
        </w:rPr>
        <w:t>separability violation</w:t>
      </w:r>
      <w:r>
        <w:t xml:space="preserve">: (a) </w:t>
      </w:r>
      <w:r>
        <w:rPr>
          <w:b/>
        </w:rPr>
        <w:t>probability-domain averaging</w:t>
      </w:r>
      <w:r>
        <w:t xml:space="preserve"> rather than logit-domain addition (what LLM judges actually do, P1's R3 rule); (b) </w:t>
      </w:r>
      <w:r>
        <w:rPr>
          <w:b/>
        </w:rPr>
        <w:t>uneven per-pair availability</w:t>
      </w:r>
      <w:r>
        <w:t xml:space="preserve"> (missing / partial observation, P1's R4 rule).</w:t>
      </w:r>
    </w:p>
    <w:p>
      <w:pPr>
        <w:ind w:firstLine="360"/>
        <w:jc w:val="both"/>
      </w:pPr>
      <w:r>
        <w:rPr>
          <w:b/>
        </w:rPr>
        <w:t xml:space="preserve">Numerical companion (rerun command: </w:t>
      </w:r>
      <w:r>
        <w:rPr>
          <w:rFonts w:ascii="Courier New" w:hAnsi="Courier New"/>
          <w:b/>
          <w:sz w:val="22"/>
        </w:rPr>
        <w:t>python results/code/m4_proposition_p1.py</w:t>
      </w:r>
      <w:r>
        <w:rPr>
          <w:b/>
        </w:rPr>
        <w:t xml:space="preserve">, output </w:t>
      </w:r>
      <w:r>
        <w:rPr>
          <w:rFonts w:ascii="Courier New" w:hAnsi="Courier New"/>
          <w:b/>
          <w:sz w:val="22"/>
        </w:rPr>
        <w:t>results/code/m4_proposition_p1.json</w:t>
      </w:r>
      <w:r>
        <w:rPr>
          <w:b/>
        </w:rPr>
        <w:t>).</w:t>
      </w:r>
      <w:r>
        <w:t xml:space="preserve"> On a synthetic problem where "m signals are noisy observations of the same latent variable" we run a four-way comparison (W_ij = σ(Y_ij), Y_ji = −Y_ij ⇒ N_ij ≡ 1); the solver is homotopy continuation + Newton + Armijo with a log-domain MM fallback, initialized at d ≡ 0 (the known answer is not used, avoiding implanting the identity into the starting point). Results:</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Rule</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Meaning</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Expected vs u</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Measured min / max (24 trials × 4 scales = 96 groups)</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R1 logit-sum</w:t>
            </w:r>
          </w:p>
        </w:tc>
        <w:tc>
          <w:tcPr>
            <w:tcW w:type="dxa" w:w="2160"/>
            <w:vAlign w:val="center"/>
            <w:tcMar>
              <w:top w:w="120" w:type="dxa"/>
              <w:bottom w:w="120" w:type="dxa"/>
              <w:left w:w="120" w:type="dxa"/>
              <w:right w:w="120" w:type="dxa"/>
            </w:tcMar>
          </w:tcPr>
          <w:p>
            <w:pPr>
              <w:jc w:val="left"/>
              <w:spacing w:line="240" w:lineRule="auto" w:before="55" w:after="55"/>
            </w:pPr>
            <w:r>
              <w:rPr>
                <w:sz w:val="22"/>
              </w:rPr>
              <w:t>Additive separable (sum)</w:t>
            </w:r>
          </w:p>
        </w:tc>
        <w:tc>
          <w:tcPr>
            <w:tcW w:type="dxa" w:w="2160"/>
            <w:vAlign w:val="center"/>
            <w:tcMar>
              <w:top w:w="120" w:type="dxa"/>
              <w:bottom w:w="120" w:type="dxa"/>
              <w:left w:w="120" w:type="dxa"/>
              <w:right w:w="120" w:type="dxa"/>
            </w:tcMar>
          </w:tcPr>
          <w:p>
            <w:pPr>
              <w:jc w:val="left"/>
              <w:spacing w:line="240" w:lineRule="auto" w:before="55" w:after="55"/>
            </w:pPr>
            <w:r>
              <w:rPr>
                <w:sz w:val="22"/>
              </w:rPr>
              <w:t>1.0</w:t>
            </w:r>
          </w:p>
        </w:tc>
        <w:tc>
          <w:tcPr>
            <w:tcW w:type="dxa" w:w="2160"/>
            <w:vAlign w:val="center"/>
            <w:tcMar>
              <w:top w:w="120" w:type="dxa"/>
              <w:bottom w:w="120" w:type="dxa"/>
              <w:left w:w="120" w:type="dxa"/>
              <w:right w:w="120" w:type="dxa"/>
            </w:tcMar>
          </w:tcPr>
          <w:p>
            <w:pPr>
              <w:jc w:val="left"/>
              <w:spacing w:line="240" w:lineRule="auto" w:before="55" w:after="55"/>
            </w:pPr>
            <w:r>
              <w:rPr>
                <w:sz w:val="22"/>
              </w:rPr>
              <w:t>min = 1.0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R2 logit-mean</w:t>
            </w:r>
          </w:p>
        </w:tc>
        <w:tc>
          <w:tcPr>
            <w:tcW w:type="dxa" w:w="2160"/>
            <w:vAlign w:val="center"/>
            <w:tcMar>
              <w:top w:w="120" w:type="dxa"/>
              <w:bottom w:w="120" w:type="dxa"/>
              <w:left w:w="120" w:type="dxa"/>
              <w:right w:w="120" w:type="dxa"/>
            </w:tcMar>
          </w:tcPr>
          <w:p>
            <w:pPr>
              <w:jc w:val="left"/>
              <w:spacing w:line="240" w:lineRule="auto" w:before="55" w:after="55"/>
            </w:pPr>
            <w:r>
              <w:rPr>
                <w:sz w:val="22"/>
              </w:rPr>
              <w:t>Additive separable (mean)</w:t>
            </w:r>
          </w:p>
        </w:tc>
        <w:tc>
          <w:tcPr>
            <w:tcW w:type="dxa" w:w="2160"/>
            <w:vAlign w:val="center"/>
            <w:tcMar>
              <w:top w:w="120" w:type="dxa"/>
              <w:bottom w:w="120" w:type="dxa"/>
              <w:left w:w="120" w:type="dxa"/>
              <w:right w:w="120" w:type="dxa"/>
            </w:tcMar>
          </w:tcPr>
          <w:p>
            <w:pPr>
              <w:jc w:val="left"/>
              <w:spacing w:line="240" w:lineRule="auto" w:before="55" w:after="55"/>
            </w:pPr>
            <w:r>
              <w:rPr>
                <w:sz w:val="22"/>
              </w:rPr>
              <w:t>1.0</w:t>
            </w:r>
          </w:p>
        </w:tc>
        <w:tc>
          <w:tcPr>
            <w:tcW w:type="dxa" w:w="2160"/>
            <w:vAlign w:val="center"/>
            <w:tcMar>
              <w:top w:w="120" w:type="dxa"/>
              <w:bottom w:w="120" w:type="dxa"/>
              <w:left w:w="120" w:type="dxa"/>
              <w:right w:w="120" w:type="dxa"/>
            </w:tcMar>
          </w:tcPr>
          <w:p>
            <w:pPr>
              <w:jc w:val="left"/>
              <w:spacing w:line="240" w:lineRule="auto" w:before="55" w:after="55"/>
            </w:pPr>
            <w:r>
              <w:rPr>
                <w:sz w:val="22"/>
              </w:rPr>
              <w:t>min = 1.0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R3 prob-mean</w:t>
            </w:r>
          </w:p>
        </w:tc>
        <w:tc>
          <w:tcPr>
            <w:tcW w:type="dxa" w:w="2160"/>
            <w:vAlign w:val="center"/>
            <w:tcMar>
              <w:top w:w="120" w:type="dxa"/>
              <w:bottom w:w="120" w:type="dxa"/>
              <w:left w:w="120" w:type="dxa"/>
              <w:right w:w="120" w:type="dxa"/>
            </w:tcMar>
          </w:tcPr>
          <w:p>
            <w:pPr>
              <w:jc w:val="left"/>
              <w:spacing w:line="240" w:lineRule="auto" w:before="55" w:after="55"/>
            </w:pPr>
            <w:r>
              <w:rPr>
                <w:sz w:val="22"/>
              </w:rPr>
              <w:t>Probability-domain averaging (LLMsense)</w:t>
            </w:r>
          </w:p>
        </w:tc>
        <w:tc>
          <w:tcPr>
            <w:tcW w:type="dxa" w:w="2160"/>
            <w:vAlign w:val="center"/>
            <w:tcMar>
              <w:top w:w="120" w:type="dxa"/>
              <w:bottom w:w="120" w:type="dxa"/>
              <w:left w:w="120" w:type="dxa"/>
              <w:right w:w="120" w:type="dxa"/>
            </w:tcMar>
          </w:tcPr>
          <w:p>
            <w:pPr>
              <w:jc w:val="left"/>
              <w:spacing w:line="240" w:lineRule="auto" w:before="55" w:after="55"/>
            </w:pPr>
            <w:r>
              <w:rPr>
                <w:sz w:val="22"/>
              </w:rPr>
              <w:t>&lt;1</w:t>
            </w:r>
          </w:p>
        </w:tc>
        <w:tc>
          <w:tcPr>
            <w:tcW w:type="dxa" w:w="2160"/>
            <w:vAlign w:val="center"/>
            <w:tcMar>
              <w:top w:w="120" w:type="dxa"/>
              <w:bottom w:w="120" w:type="dxa"/>
              <w:left w:w="120" w:type="dxa"/>
              <w:right w:w="120" w:type="dxa"/>
            </w:tcMar>
          </w:tcPr>
          <w:p>
            <w:pPr>
              <w:jc w:val="left"/>
              <w:spacing w:line="240" w:lineRule="auto" w:before="55" w:after="55"/>
            </w:pPr>
            <w:r>
              <w:rPr>
                <w:sz w:val="22"/>
              </w:rPr>
              <w:t>max = 1.0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R4 partial-obs</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Per-pair missingness</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&lt;1</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max = 0.996992</w:t>
            </w:r>
          </w:p>
        </w:tc>
      </w:tr>
    </w:tbl>
    <w:p>
      <w:pPr>
        <w:spacing w:after="120"/>
        <w:ind w:firstLine="0"/>
        <w:jc w:val="both"/>
      </w:pPr>
      <w:r>
        <w:t xml:space="preserve">&amp;nbsp;&amp;nbsp;Rerun command: </w:t>
      </w:r>
      <w:r>
        <w:rPr>
          <w:rFonts w:ascii="Courier New" w:hAnsi="Courier New"/>
          <w:sz w:val="22"/>
        </w:rPr>
        <w:t>python results/code/m4_proposition_p1.py</w:t>
      </w:r>
      <w:r>
        <w:t xml:space="preserve"> → </w:t>
      </w:r>
      <w:r>
        <w:rPr>
          <w:rFonts w:ascii="Courier New" w:hAnsi="Courier New"/>
          <w:sz w:val="22"/>
        </w:rPr>
        <w:t>results/code/m4_proposition_p1.json</w:t>
      </w:r>
      <w:r>
        <w:t xml:space="preserve">; </w:t>
      </w:r>
      <w:r>
        <w:rPr>
          <w:b/>
        </w:rPr>
        <w:t>convergence certificate ‖∇ℓ‖_∞ maximum = 1e-11</w:t>
      </w:r>
      <w:r>
        <w:t xml:space="preserve"> (all 384 BT solves converged, no spurious ill-conditioning).</w:t>
      </w:r>
    </w:p>
    <w:p>
      <w:pPr>
        <w:ind w:firstLine="360"/>
        <w:jc w:val="both"/>
      </w:pPr>
      <w:r>
        <w:t xml:space="preserve">The two additively-separable rules reach ρ = 1.0 in </w:t>
      </w:r>
      <w:r>
        <w:rPr>
          <w:b/>
        </w:rPr>
        <w:t>every</w:t>
      </w:r>
      <w:r>
        <w:t xml:space="preserve"> group (min = 1.0 means the worst case is still identity); the two violation sources still reach 1.0 only in the "worst case" (some trials are unaffected) but are systematically below 1. The R2/R1 contrast strips out the irrelevant factor "mean vs. sum," proving that </w:t>
      </w:r>
      <w:r>
        <w:rPr>
          <w:b/>
        </w:rPr>
        <w:t>what matters is the domain of combination, not the aggregation operator</w:t>
      </w:r>
      <w:r>
        <w:t>; R3/R4 quantify the magnitude of the two realistic violation sources.</w:t>
      </w:r>
    </w:p>
    <w:p>
      <w:pPr>
        <w:ind w:firstLine="360"/>
        <w:jc w:val="both"/>
      </w:pPr>
      <w:r>
        <w:rPr>
          <w:b/>
        </w:rPr>
        <w:t>Mechanism diagnosis (answering the more important question: does violating additive separability bring a gain?).</w:t>
      </w:r>
      <w:r>
        <w:t xml:space="preserve"> Under the same data-generating process (each signal's noise standard deviation varies from 0.4 to 1.6, giving precision weighting resolution), we compare the correlation of three recoveries with "precision weighting" (optimal linear recovery, weight ∝ 1/σ_k²):</w:t>
      </w:r>
    </w:p>
    <w:tbl>
      <w:tblPr>
        <w:tblW w:type="pct" w:w="5000"/>
        <w:tblLook w:firstColumn="1" w:firstRow="1" w:lastColumn="0" w:lastRow="0" w:noHBand="0" w:noVBand="1" w:val="04A0"/>
        <w:tblLayout w:type="autofit"/>
      </w:tblPr>
      <w:tblGrid>
        <w:gridCol w:w="4320"/>
        <w:gridCol w:w="4320"/>
      </w:tblGrid>
      <w:tr>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Quantity</w:t>
            </w:r>
          </w:p>
        </w:tc>
        <w:tc>
          <w:tcPr>
            <w:tcW w:type="dxa" w:w="432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Spearman ρ (mean over 96 groups)</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ρ(precision-weighting, true latent)</w:t>
            </w:r>
          </w:p>
        </w:tc>
        <w:tc>
          <w:tcPr>
            <w:tcW w:type="dxa" w:w="4320"/>
            <w:vAlign w:val="center"/>
            <w:tcMar>
              <w:top w:w="120" w:type="dxa"/>
              <w:bottom w:w="120" w:type="dxa"/>
              <w:left w:w="120" w:type="dxa"/>
              <w:right w:w="120" w:type="dxa"/>
            </w:tcMar>
          </w:tcPr>
          <w:p>
            <w:pPr>
              <w:jc w:val="left"/>
              <w:spacing w:line="240" w:lineRule="auto" w:before="55" w:after="55"/>
            </w:pPr>
            <w:r>
              <w:rPr>
                <w:sz w:val="22"/>
              </w:rPr>
              <w:t>0.898649</w:t>
            </w:r>
          </w:p>
        </w:tc>
      </w:tr>
      <w:tr>
        <w:tc>
          <w:tcPr>
            <w:tcW w:type="dxa" w:w="4320"/>
            <w:vAlign w:val="center"/>
            <w:tcMar>
              <w:top w:w="120" w:type="dxa"/>
              <w:bottom w:w="120" w:type="dxa"/>
              <w:left w:w="120" w:type="dxa"/>
              <w:right w:w="120" w:type="dxa"/>
            </w:tcMar>
          </w:tcPr>
          <w:p>
            <w:pPr>
              <w:jc w:val="left"/>
              <w:spacing w:line="240" w:lineRule="auto" w:before="55" w:after="55"/>
            </w:pPr>
            <w:r>
              <w:rPr>
                <w:sz w:val="22"/>
              </w:rPr>
              <w:t>ρ(u_α, precision-weighting)</w:t>
            </w:r>
          </w:p>
        </w:tc>
        <w:tc>
          <w:tcPr>
            <w:tcW w:type="dxa" w:w="4320"/>
            <w:vAlign w:val="center"/>
            <w:tcMar>
              <w:top w:w="120" w:type="dxa"/>
              <w:bottom w:w="120" w:type="dxa"/>
              <w:left w:w="120" w:type="dxa"/>
              <w:right w:w="120" w:type="dxa"/>
            </w:tcMar>
          </w:tcPr>
          <w:p>
            <w:pPr>
              <w:jc w:val="left"/>
              <w:spacing w:line="240" w:lineRule="auto" w:before="55" w:after="55"/>
            </w:pPr>
            <w:r>
              <w:rPr>
                <w:sz w:val="22"/>
              </w:rPr>
              <w:t>0.939289</w:t>
            </w:r>
          </w:p>
        </w:tc>
      </w:tr>
      <w:tr>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ρ(BT prob-mean, precision-weighting)</w:t>
            </w:r>
          </w:p>
        </w:tc>
        <w:tc>
          <w:tcPr>
            <w:tcW w:type="dxa" w:w="432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0.96404</w:t>
            </w:r>
          </w:p>
        </w:tc>
      </w:tr>
    </w:tbl>
    <w:p>
      <w:pPr>
        <w:spacing w:after="120"/>
        <w:ind w:firstLine="0"/>
        <w:jc w:val="both"/>
      </w:pPr>
      <w:r>
        <w:t xml:space="preserve">&amp;nbsp;&amp;nbsp;Rerun command: same as above, reading </w:t>
      </w:r>
      <w:r>
        <w:rPr>
          <w:rFonts w:ascii="Courier New" w:hAnsi="Courier New"/>
          <w:sz w:val="22"/>
        </w:rPr>
        <w:t>rho_prec_vs_latent_mean</w:t>
      </w:r>
      <w:r>
        <w:t xml:space="preserve"> / </w:t>
      </w:r>
      <w:r>
        <w:rPr>
          <w:rFonts w:ascii="Courier New" w:hAnsi="Courier New"/>
          <w:sz w:val="22"/>
        </w:rPr>
        <w:t>rho_u_vs_prec_mean</w:t>
      </w:r>
      <w:r>
        <w:t xml:space="preserve"> / </w:t>
      </w:r>
      <w:r>
        <w:rPr>
          <w:rFonts w:ascii="Courier New" w:hAnsi="Courier New"/>
          <w:sz w:val="22"/>
        </w:rPr>
        <w:t>rho_prob_mean_vs_prec_mean</w:t>
      </w:r>
      <w:r>
        <w:t xml:space="preserve"> from </w:t>
      </w:r>
      <w:r>
        <w:rPr>
          <w:rFonts w:ascii="Courier New" w:hAnsi="Courier New"/>
          <w:sz w:val="22"/>
        </w:rPr>
        <w:t>m4_proposition_p1.json</w:t>
      </w:r>
      <w:r>
        <w:t>.</w:t>
      </w:r>
    </w:p>
    <w:p>
      <w:pPr>
        <w:ind w:firstLine="360"/>
        <w:jc w:val="both"/>
      </w:pPr>
      <w:r>
        <w:t xml:space="preserve">Key finding: </w:t>
      </w:r>
      <w:r>
        <w:rPr>
          <w:b/>
        </w:rPr>
        <w:t>probability-domain averaging is closer to precision weighting than the α linear combination</w:t>
      </w:r>
      <w:r>
        <w:t xml:space="preserve"> (0.96404 &gt; 0.939289) — exactly the numerical evidence that LLM judges "implicitly do precision weighting," and the mechanism M4-B wants to capture explicitly. But the corollary of Proposition P1 also warns: </w:t>
      </w:r>
      <w:r>
        <w:rPr>
          <w:b/>
        </w:rPr>
        <w:t>violating additive separability does not automatically bring a gain</w:t>
      </w:r>
      <w:r>
        <w:t>; it only brings a "difference," and whether the difference is a gain must be checked against an exogenous criterion — the DBE collapse of §5.2 is its counter-example (M4 is higher on "combination reliability" but lower on exogenous validity).</w:t>
      </w:r>
    </w:p>
    <w:p>
      <w:pPr>
        <w:pStyle w:val="Heading3"/>
      </w:pPr>
      <w:r>
        <w:rPr>
          <w:rFonts w:ascii="Times New Roman" w:hAnsi="Times New Roman"/>
          <w:b/>
          <w:color w:val="000000"/>
          <w:sz w:val="24"/>
        </w:rPr>
        <w:t>3.2 Reliability ≠ Validity: the theoretical boundary of M4</w:t>
      </w:r>
    </w:p>
    <w:p>
      <w:pPr>
        <w:ind w:firstLine="360"/>
        <w:jc w:val="both"/>
      </w:pPr>
      <w:r>
        <w:rPr>
          <w:b/>
        </w:rPr>
        <w:t>Proposition (boundary).</w:t>
      </w:r>
      <w:r>
        <w:t xml:space="preserve"> Under the single-factor model z_k = √ρ_k·t + √(1−ρ_k)·ε_k (t the latent difficulty, ε_k ⟂ t), M4-B's β = V⁻¹q maximizes the correlation between the combination c = βᵀz and t (i.e., the combination's </w:t>
      </w:r>
      <w:r>
        <w:rPr>
          <w:b/>
        </w:rPr>
        <w:t>reliability</w:t>
      </w:r>
      <w:r>
        <w:t xml:space="preserve">). Let the validity target be v = t + η, with η ⟂ t and η ⟂ {ε_k}; then corr(c,v) = corr(c,t) — the combination's validity </w:t>
      </w:r>
      <w:r>
        <w:rPr>
          <w:b/>
        </w:rPr>
        <w:t>equals</w:t>
      </w:r>
      <w:r>
        <w:t xml:space="preserve"> its reliability relative to t, </w:t>
      </w:r>
      <w:r>
        <w:rPr>
          <w:b/>
        </w:rPr>
        <w:t>but</w:t>
      </w:r>
      <w:r>
        <w:t xml:space="preserve"> when some auxiliary signal k carries specific variance "unrelated to v" (i.e., ε_k is not aligned with v but only with a partially redundant component of t), β_k, being large because ρ_k is large, weights that signal more heavily and instead lowers corr(c,v).</w:t>
      </w:r>
    </w:p>
    <w:p>
      <w:pPr>
        <w:ind w:firstLine="360"/>
        <w:jc w:val="both"/>
      </w:pPr>
      <w:r>
        <w:rPr>
          <w:b/>
        </w:rPr>
        <w:t>Formal illustration.</w:t>
      </w:r>
      <w:r>
        <w:t xml:space="preserve"> M4-B's loading q_k = sgn_k√ρ_k assumes that </w:t>
      </w:r>
      <w:r>
        <w:rPr>
          <w:b/>
        </w:rPr>
        <w:t>all</w:t>
      </w:r>
      <w:r>
        <w:t xml:space="preserve"> auxiliary signals load on the same latent variable t.If this assumption is broken — for example </w:t>
      </w:r>
      <w:r>
        <w:rPr>
          <w:rFonts w:ascii="Courier New" w:hAnsi="Courier New"/>
          <w:sz w:val="22"/>
        </w:rPr>
        <w:t>self_report</w:t>
      </w:r>
      <w:r>
        <w:t xml:space="preserve"> (student self-assessment) is highly collinear with the success rate (redundant) but uncorrelated with the teacher's true difficulty (validity ≈ 0) — then the single-factor solution of β increases its weight (because ρ_k is large), and this weight buys "information the success rate already contains" rather than "increment." This is precisely the structural root of the DBE collapse in §5.2: </w:t>
      </w:r>
      <w:r>
        <w:rPr>
          <w:b/>
        </w:rPr>
        <w:t>high reliability + low incremental validity = M4 weights noise more heavily</w:t>
      </w:r>
      <w:r>
        <w:t>.Therefore, the "combination reliability improvement" of §3.1 and the "exogenous validity improvement" are two different things, and any M4 gain claim must be re-examined against an exogenous criterion.</w:t>
      </w:r>
    </w:p>
    <w:p>
      <w:pPr>
        <w:ind w:firstLine="360"/>
        <w:jc w:val="both"/>
      </w:pPr>
      <w:r>
        <w:t xml:space="preserve">This boundary has been written into production-code comments (code evidence: </w:t>
      </w:r>
      <w:r>
        <w:rPr>
          <w:rFonts w:ascii="Courier New" w:hAnsi="Courier New"/>
          <w:sz w:val="22"/>
        </w:rPr>
        <w:t>app/services/difficulty_m4.py:38-44</w:t>
      </w:r>
      <w:r>
        <w:t>).</w:t>
      </w:r>
    </w:p>
    <w:p>
      <w:pPr>
        <w:pStyle w:val="Heading3"/>
      </w:pPr>
      <w:r>
        <w:rPr>
          <w:rFonts w:ascii="Times New Roman" w:hAnsi="Times New Roman"/>
          <w:b/>
          <w:color w:val="000000"/>
          <w:sz w:val="24"/>
        </w:rPr>
        <w:t>3.3 M4-A/B/C/D: four structural improvements and the "srw7 is a special case" degeneration proof</w:t>
      </w:r>
    </w:p>
    <w:p>
      <w:pPr>
        <w:ind w:firstLine="360"/>
        <w:jc w:val="both"/>
      </w:pPr>
      <w:r>
        <w:rPr>
          <w:b/>
        </w:rPr>
        <w:t>M4-A (estimate second-order structure on ranks).</w:t>
      </w:r>
      <w:r>
        <w:t xml:space="preserve"> The existing </w:t>
      </w:r>
      <w:r>
        <w:rPr>
          <w:rFonts w:ascii="Courier New" w:hAnsi="Courier New"/>
          <w:sz w:val="22"/>
        </w:rPr>
        <w:t>srw7</w:t>
      </w:r>
      <w:r>
        <w:t xml:space="preserve"> estimates V on the unprocessed logit values, which are dominated by the tails of the ECDF–logit (ε = 1e-4 ⇒ extremes ±9.21). M4-A instead estimates V on </w:t>
      </w:r>
      <w:r>
        <w:rPr>
          <w:b/>
        </w:rPr>
        <w:t>rank correlation</w:t>
      </w:r>
      <w:r>
        <w:t xml:space="preserve"> (code evidence: </w:t>
      </w:r>
      <w:r>
        <w:rPr>
          <w:rFonts w:ascii="Courier New" w:hAnsi="Courier New"/>
          <w:sz w:val="22"/>
        </w:rPr>
        <w:t>_m4_beta_from_ranks</w:t>
      </w:r>
      <w:r>
        <w:t xml:space="preserve"> at </w:t>
      </w:r>
      <w:r>
        <w:rPr>
          <w:rFonts w:ascii="Courier New" w:hAnsi="Courier New"/>
          <w:sz w:val="22"/>
        </w:rPr>
        <w:t>app/services/difficulty_m4.py:166-182</w:t>
      </w:r>
      <w:r>
        <w:t xml:space="preserve">, public entry </w:t>
      </w:r>
      <w:r>
        <w:rPr>
          <w:rFonts w:ascii="Courier New" w:hAnsi="Courier New"/>
          <w:sz w:val="22"/>
        </w:rPr>
        <w:t>m4_beta</w:t>
      </w:r>
      <w:r>
        <w:t xml:space="preserve"> delegates to it at </w:t>
      </w:r>
      <w:r>
        <w:rPr>
          <w:rFonts w:ascii="Courier New" w:hAnsi="Courier New"/>
          <w:sz w:val="22"/>
        </w:rPr>
        <w:t>:185-207</w:t>
      </w:r>
      <w:r>
        <w:t xml:space="preserve">, computing </w:t>
      </w:r>
      <w:r>
        <w:rPr>
          <w:rFonts w:ascii="Courier New" w:hAnsi="Courier New"/>
          <w:sz w:val="22"/>
        </w:rPr>
        <w:t>ranks</w:t>
      </w:r>
      <w:r>
        <w:t xml:space="preserve"> then </w:t>
      </w:r>
      <w:r>
        <w:rPr>
          <w:rFonts w:ascii="Courier New" w:hAnsi="Courier New"/>
          <w:sz w:val="22"/>
        </w:rPr>
        <w:t>_pearson</w:t>
      </w:r>
      <w:r>
        <w:t>), which is both tail-robust and fully preserves the monotonic-reparametrization invariance of M1/O1.</w:t>
      </w:r>
    </w:p>
    <w:p>
      <w:pPr>
        <w:ind w:firstLine="360"/>
        <w:jc w:val="both"/>
      </w:pPr>
      <w:r>
        <w:rPr>
          <w:b/>
        </w:rPr>
        <w:t>M4-B (single-factor model β = V⁻¹q).</w:t>
      </w:r>
      <w:r>
        <w:t xml:space="preserve"> q_k = sgn_k·√ρ_k, β = V⁻¹q. V⁻¹ automatically removes inter-column collinearity (code evidence: </w:t>
      </w:r>
      <w:r>
        <w:rPr>
          <w:rFonts w:ascii="Courier New" w:hAnsi="Courier New"/>
          <w:sz w:val="22"/>
        </w:rPr>
        <w:t>_m4_beta_from_ranks</w:t>
      </w:r>
      <w:r>
        <w:t>/</w:t>
      </w:r>
      <w:r>
        <w:rPr>
          <w:rFonts w:ascii="Courier New" w:hAnsi="Courier New"/>
          <w:sz w:val="22"/>
        </w:rPr>
        <w:t>m4_beta</w:t>
      </w:r>
      <w:r>
        <w:t xml:space="preserve"> at </w:t>
      </w:r>
      <w:r>
        <w:rPr>
          <w:rFonts w:ascii="Courier New" w:hAnsi="Courier New"/>
          <w:sz w:val="22"/>
        </w:rPr>
        <w:t>app/services/difficulty_m4.py:166-207</w:t>
      </w:r>
      <w:r>
        <w:t xml:space="preserve">); sign correction is absorbed into q, and columns whose direction is opposite to success difficulty automatically get a negative β (code evidence: </w:t>
      </w:r>
      <w:r>
        <w:rPr>
          <w:rFonts w:ascii="Courier New" w:hAnsi="Courier New"/>
          <w:sz w:val="22"/>
        </w:rPr>
        <w:t>app/services/difficulty_m4.py:370-371</w:t>
      </w:r>
      <w:r>
        <w:t xml:space="preserve">). Compared with </w:t>
      </w:r>
      <w:r>
        <w:rPr>
          <w:rFonts w:ascii="Courier New" w:hAnsi="Courier New"/>
          <w:sz w:val="22"/>
        </w:rPr>
        <w:t>srw7</w:t>
      </w:r>
      <w:r>
        <w:t>'s w_k ∝ ρ_k, M4-B adds two corrections: the √(ρ/(1−ρ)) error-correction term and the V⁻¹ collinearity-correction term.</w:t>
      </w:r>
    </w:p>
    <w:p>
      <w:pPr>
        <w:ind w:firstLine="360"/>
        <w:jc w:val="both"/>
      </w:pPr>
      <w:r>
        <w:rPr>
          <w:b/>
        </w:rPr>
        <w:t>M4-C (λ derived from β as a diagnostic).</w:t>
      </w:r>
      <w:r>
        <w:t xml:space="preserve"> λ = Σ_{k≠ref}|β_k|/Σ_k|β_k| (code evidence: </w:t>
      </w:r>
      <w:r>
        <w:rPr>
          <w:rFonts w:ascii="Courier New" w:hAnsi="Courier New"/>
          <w:sz w:val="22"/>
        </w:rPr>
        <w:t>derived_lambda</w:t>
      </w:r>
      <w:r>
        <w:t xml:space="preserve"> at </w:t>
      </w:r>
      <w:r>
        <w:rPr>
          <w:rFonts w:ascii="Courier New" w:hAnsi="Courier New"/>
          <w:sz w:val="22"/>
        </w:rPr>
        <w:t>app/services/difficulty_m4.py:234-247</w:t>
      </w:r>
      <w:r>
        <w:t xml:space="preserve">). When the auxiliary signals are collectively unreliable, β_aux → 0 and λ → 0, automatically reverting to pure success rate; it contrasts with M1/O8's endogenous empirical power-law λ_cf(k) and is a </w:t>
      </w:r>
      <w:r>
        <w:rPr>
          <w:b/>
        </w:rPr>
        <w:t>diagnostic quantity rather than a hyperparameter</w:t>
      </w:r>
      <w:r>
        <w:t>.</w:t>
      </w:r>
    </w:p>
    <w:p>
      <w:pPr>
        <w:ind w:firstLine="360"/>
        <w:jc w:val="both"/>
      </w:pPr>
      <w:r>
        <w:rPr>
          <w:b/>
        </w:rPr>
        <w:t>M4-D (per-item local reliability under partial observability).</w:t>
      </w:r>
      <w:r>
        <w:t xml:space="preserve"> It allows passing each column's per-item effective observation count </w:t>
      </w:r>
      <w:r>
        <w:rPr>
          <w:rFonts w:ascii="Courier New" w:hAnsi="Courier New"/>
          <w:sz w:val="22"/>
        </w:rPr>
        <w:t>coverage</w:t>
      </w:r>
      <w:r>
        <w:t xml:space="preserve"> and single-observation reliability ρ₁, giving each item a local-reliability β via the general Spearman–Brown form ρ(n) = nρ₁/(1+(n−1)ρ₁) (code evidence: </w:t>
      </w:r>
      <w:r>
        <w:rPr>
          <w:rFonts w:ascii="Courier New" w:hAnsi="Courier New"/>
          <w:sz w:val="22"/>
        </w:rPr>
        <w:t>coverage_reliability</w:t>
      </w:r>
      <w:r>
        <w:t xml:space="preserve"> at </w:t>
      </w:r>
      <w:r>
        <w:rPr>
          <w:rFonts w:ascii="Courier New" w:hAnsi="Courier New"/>
          <w:sz w:val="22"/>
        </w:rPr>
        <w:t>app/services/difficulty_m4.py:140-144</w:t>
      </w:r>
      <w:r>
        <w:t xml:space="preserve"> and the per-item β path at </w:t>
      </w:r>
      <w:r>
        <w:rPr>
          <w:rFonts w:ascii="Courier New" w:hAnsi="Courier New"/>
          <w:sz w:val="22"/>
        </w:rPr>
        <w:t>:407-437</w:t>
      </w:r>
      <w:r>
        <w:t xml:space="preserve">). DBE-KT22's </w:t>
      </w:r>
      <w:r>
        <w:rPr>
          <w:rFonts w:ascii="Courier New" w:hAnsi="Courier New"/>
          <w:sz w:val="22"/>
        </w:rPr>
        <w:t>difficulty_feedback</w:t>
      </w:r>
      <w:r>
        <w:t xml:space="preserve"> / </w:t>
      </w:r>
      <w:r>
        <w:rPr>
          <w:rFonts w:ascii="Courier New" w:hAnsi="Courier New"/>
          <w:sz w:val="22"/>
        </w:rPr>
        <w:t>trust_feedback</w:t>
      </w:r>
      <w:r>
        <w:t xml:space="preserve"> columns are exactly this scenario.</w:t>
      </w:r>
    </w:p>
    <w:p>
      <w:pPr>
        <w:ind w:firstLine="360"/>
        <w:jc w:val="both"/>
      </w:pPr>
      <w:r>
        <w:rPr>
          <w:b/>
        </w:rPr>
        <w:t>Degeneration proof (srw7 is a special case of M4).</w:t>
      </w:r>
      <w:r>
        <w:t xml:space="preserve"> On the manifold V → I (columns uncorrelated, i.e., </w:t>
      </w:r>
      <w:r>
        <w:rPr>
          <w:rFonts w:ascii="Courier New" w:hAnsi="Courier New"/>
          <w:sz w:val="22"/>
        </w:rPr>
        <w:t>m4_beta</w:t>
      </w:r>
      <w:r>
        <w:t xml:space="preserve"> degenerates to the |q|-normalized fallback, </w:t>
      </w:r>
      <w:r>
        <w:rPr>
          <w:rFonts w:ascii="Courier New" w:hAnsi="Courier New"/>
          <w:sz w:val="22"/>
        </w:rPr>
        <w:t>app/services/difficulty_m4.py:183-184</w:t>
      </w:r>
      <w:r>
        <w:t xml:space="preserve">) with q_k = sgn_k√ρ_k: ① M4-B degenerates to β_k ∝ √ρ_k, i.e., the ablation variant </w:t>
      </w:r>
      <w:r>
        <w:rPr>
          <w:rFonts w:ascii="Courier New" w:hAnsi="Courier New"/>
          <w:b/>
          <w:sz w:val="22"/>
        </w:rPr>
        <w:t>m4_W</w:t>
      </w:r>
      <w:r>
        <w:t xml:space="preserve"> (weight √ρ/(1−ρ), no collinearity correction, code evidence: </w:t>
      </w:r>
      <w:r>
        <w:rPr>
          <w:rFonts w:ascii="Courier New" w:hAnsi="Courier New"/>
          <w:sz w:val="22"/>
        </w:rPr>
        <w:t>results/code/run_m4.py:171-181</w:t>
      </w:r>
      <w:r>
        <w:t xml:space="preserve">); ② </w:t>
      </w:r>
      <w:r>
        <w:rPr>
          <w:rFonts w:ascii="Courier New" w:hAnsi="Courier New"/>
          <w:sz w:val="22"/>
        </w:rPr>
        <w:t>srw7</w:t>
      </w:r>
      <w:r>
        <w:t xml:space="preserve">'s w_k ∝ ρ_k is the approximation of ① that drops the (1−ρ) error-correction term (so </w:t>
      </w:r>
      <w:r>
        <w:rPr>
          <w:rFonts w:ascii="Courier New" w:hAnsi="Courier New"/>
          <w:sz w:val="22"/>
        </w:rPr>
        <w:t>srw7</w:t>
      </w:r>
      <w:r>
        <w:t xml:space="preserve"> slightly under-weights high-reliability columns); ③ introducing the V⁻¹ collinearity correction gives </w:t>
      </w:r>
      <w:r>
        <w:rPr>
          <w:rFonts w:ascii="Courier New" w:hAnsi="Courier New"/>
          <w:b/>
          <w:sz w:val="22"/>
        </w:rPr>
        <w:t>m4_WV</w:t>
      </w:r>
      <w:r>
        <w:t xml:space="preserve"> (code evidence: </w:t>
      </w:r>
      <w:r>
        <w:rPr>
          <w:rFonts w:ascii="Courier New" w:hAnsi="Courier New"/>
          <w:sz w:val="22"/>
        </w:rPr>
        <w:t>results/code/run_m4.py:183-188</w:t>
      </w:r>
      <w:r>
        <w:t xml:space="preserve">); ④ removing the external λ gives </w:t>
      </w:r>
      <w:r>
        <w:rPr>
          <w:rFonts w:ascii="Courier New" w:hAnsi="Courier New"/>
          <w:b/>
          <w:sz w:val="22"/>
        </w:rPr>
        <w:t>m4_full</w:t>
      </w:r>
      <w:r>
        <w:t xml:space="preserve"> (code evidence: </w:t>
      </w:r>
      <w:r>
        <w:rPr>
          <w:rFonts w:ascii="Courier New" w:hAnsi="Courier New"/>
          <w:sz w:val="22"/>
        </w:rPr>
        <w:t>results/code/run_m4.py:189-190</w:t>
      </w:r>
      <w:r>
        <w:t>). The four show a nested τ ordering in the experiments (see §5.2–§5.5), consistent with this degeneration relation.</w:t>
      </w:r>
    </w:p>
    <w:p>
      <w:pPr>
        <w:pStyle w:val="Heading3"/>
      </w:pPr>
      <w:r>
        <w:rPr>
          <w:rFonts w:ascii="Times New Roman" w:hAnsi="Times New Roman"/>
          <w:b/>
          <w:color w:val="000000"/>
          <w:sz w:val="24"/>
        </w:rPr>
        <w:t>3.4 M4-E: residualization repair</w:t>
      </w:r>
    </w:p>
    <w:p>
      <w:pPr>
        <w:ind w:firstLine="360"/>
        <w:jc w:val="both"/>
      </w:pPr>
      <w:r>
        <w:rPr>
          <w:b/>
        </w:rPr>
        <w:t>Motivation (directly from the negative result of §5.2).</w:t>
      </w:r>
      <w:r>
        <w:t xml:space="preserve"> M4-C's derived λ rises with k (0.7449 → 0.8734), meaning M4 monotonically increases the weight on auxiliary columns; but the auxiliary columns are highly collinear with the success rate, so the increased part buys </w:t>
      </w:r>
      <w:r>
        <w:rPr>
          <w:b/>
        </w:rPr>
        <w:t>redundancy</w:t>
      </w:r>
      <w:r>
        <w:t xml:space="preserve"> rather than increment, manifesting on the exogenous teacher labels as a gain that collapses with k.</w:t>
      </w:r>
    </w:p>
    <w:p>
      <w:pPr>
        <w:ind w:firstLine="360"/>
        <w:jc w:val="both"/>
      </w:pPr>
      <w:r>
        <w:rPr>
          <w:b/>
        </w:rPr>
        <w:t>Formalization.</w:t>
      </w:r>
      <w:r>
        <w:t xml:space="preserve"> For each auxiliary signal j, remove its rank correlation ρ with the reference column (success rate) in the standardized-value space, then divide by √(1−ρ²) to unit variance:</w:t>
      </w:r>
    </w:p>
    <w:p>
      <w:pPr>
        <w:ind w:firstLine="360"/>
        <w:jc w:val="both"/>
      </w:pPr>
      <w:r>
        <w:t>$$e_j = (z_j - \rho\, z_{\mathrm{ref}})/\sqrt{1-\rho^2},\quad \text{fully collinear columns (}1-\rho^2\le10^{-6}\text{) are auto-dropped}$$</w:t>
      </w:r>
    </w:p>
    <w:p>
      <w:pPr>
        <w:ind w:firstLine="360"/>
        <w:jc w:val="both"/>
      </w:pPr>
      <w:r>
        <w:t xml:space="preserve">Then combine the incremental columns compE with reliability weighting, and mix with the original ecdf–logit reference column under λ (code evidence: </w:t>
      </w:r>
      <w:r>
        <w:rPr>
          <w:rFonts w:ascii="Courier New" w:hAnsi="Courier New"/>
          <w:sz w:val="22"/>
        </w:rPr>
        <w:t>incremental_columns</w:t>
      </w:r>
      <w:r>
        <w:t xml:space="preserve"> at </w:t>
      </w:r>
      <w:r>
        <w:rPr>
          <w:rFonts w:ascii="Courier New" w:hAnsi="Courier New"/>
          <w:sz w:val="22"/>
        </w:rPr>
        <w:t>app/services/difficulty_m4.py:261-300</w:t>
      </w:r>
      <w:r>
        <w:t xml:space="preserve"> and the residualization branch at </w:t>
      </w:r>
      <w:r>
        <w:rPr>
          <w:rFonts w:ascii="Courier New" w:hAnsi="Courier New"/>
          <w:sz w:val="22"/>
        </w:rPr>
        <w:t>:392-405</w:t>
      </w:r>
      <w:r>
        <w:t xml:space="preserve">; experimental side </w:t>
      </w:r>
      <w:r>
        <w:rPr>
          <w:rFonts w:ascii="Courier New" w:hAnsi="Courier New"/>
          <w:sz w:val="22"/>
        </w:rPr>
        <w:t>results/code/run_m4.py:196-224</w:t>
      </w:r>
      <w:r>
        <w:t xml:space="preserve"> with </w:t>
      </w:r>
      <w:r>
        <w:rPr>
          <w:rFonts w:ascii="Courier New" w:hAnsi="Courier New"/>
          <w:sz w:val="22"/>
        </w:rPr>
        <w:t>m4_E_cf</w:t>
      </w:r>
      <w:r>
        <w:t>/</w:t>
      </w:r>
      <w:r>
        <w:rPr>
          <w:rFonts w:ascii="Courier New" w:hAnsi="Courier New"/>
          <w:sz w:val="22"/>
        </w:rPr>
        <w:t>m4_E_rel</w:t>
      </w:r>
      <w:r>
        <w:t xml:space="preserve">). Residualization makes the combination term </w:t>
      </w:r>
      <w:r>
        <w:rPr>
          <w:b/>
        </w:rPr>
        <w:t>rank-correlation-orthogonal</w:t>
      </w:r>
      <w:r>
        <w:t xml:space="preserve"> to the reference column; the meaning of λ shifts from "globally scaling the reference column" to "how much the incremental information is worth."</w:t>
      </w:r>
    </w:p>
    <w:p>
      <w:pPr>
        <w:pStyle w:val="Heading3"/>
      </w:pPr>
      <w:r>
        <w:rPr>
          <w:rFonts w:ascii="Times New Roman" w:hAnsi="Times New Roman"/>
          <w:b/>
          <w:color w:val="000000"/>
          <w:sz w:val="24"/>
        </w:rPr>
        <w:t>3.5 Implementation efficiency: factoring out the rank matrix (and reproducibility)</w:t>
      </w:r>
    </w:p>
    <w:p>
      <w:pPr>
        <w:ind w:firstLine="360"/>
        <w:jc w:val="both"/>
      </w:pPr>
      <w:r>
        <w:rPr>
          <w:b/>
        </w:rPr>
        <w:t>Problem (a real bottleneck in pure Python).</w:t>
      </w:r>
      <w:r>
        <w:t xml:space="preserve"> Solving M4-B's β = V⁻¹q needs the rank-correlation matrix V, and each entry of V is a Pearson on the </w:t>
      </w:r>
      <w:r>
        <w:rPr>
          <w:b/>
        </w:rPr>
        <w:t>average ranks</w:t>
      </w:r>
      <w:r>
        <w:t xml:space="preserve"> of two columns. Under partial observability (M4-D, non-empty coverage), </w:t>
      </w:r>
      <w:r>
        <w:rPr>
          <w:rFonts w:ascii="Courier New" w:hAnsi="Courier New"/>
          <w:sz w:val="22"/>
        </w:rPr>
        <w:t>estimate_m4_difficulty</w:t>
      </w:r>
      <w:r>
        <w:t xml:space="preserve"> takes the </w:t>
      </w:r>
      <w:r>
        <w:rPr>
          <w:b/>
        </w:rPr>
        <w:t>per-item β</w:t>
      </w:r>
      <w:r>
        <w:t xml:space="preserve"> path: originally </w:t>
      </w:r>
      <w:r>
        <w:rPr>
          <w:rFonts w:ascii="Courier New" w:hAnsi="Courier New"/>
          <w:sz w:val="22"/>
        </w:rPr>
        <w:t>m4_beta</w:t>
      </w:r>
      <w:r>
        <w:t xml:space="preserve"> re-sorted all m columns internally on every call (code evidence: old implementation at </w:t>
      </w:r>
      <w:r>
        <w:rPr>
          <w:rFonts w:ascii="Courier New" w:hAnsi="Courier New"/>
          <w:sz w:val="22"/>
        </w:rPr>
        <w:t>app/services/difficulty_m4.py:185-207</w:t>
      </w:r>
      <w:r>
        <w:t xml:space="preserve">). But the ranks of the standardized columns </w:t>
      </w:r>
      <w:r>
        <w:rPr>
          <w:rFonts w:ascii="Courier New" w:hAnsi="Courier New"/>
          <w:sz w:val="22"/>
        </w:rPr>
        <w:t>zstd</w:t>
      </w:r>
      <w:r>
        <w:t xml:space="preserve"> are </w:t>
      </w:r>
      <w:r>
        <w:rPr>
          <w:b/>
        </w:rPr>
        <w:t>identical for all items</w:t>
      </w:r>
      <w:r>
        <w:t xml:space="preserve"> (item-invariant, determined only by column values, independent of item index), so n items were sorted n times — under pure Python (no numpy), sorting dominates the per-item path cost, forming an O(n) redundant factor.</w:t>
      </w:r>
    </w:p>
    <w:p>
      <w:pPr>
        <w:ind w:firstLine="360"/>
        <w:jc w:val="both"/>
      </w:pPr>
      <w:r>
        <w:rPr>
          <w:b/>
        </w:rPr>
        <w:t>Fix (rank factoring-out).</w:t>
      </w:r>
      <w:r>
        <w:t xml:space="preserve"> Compute the rank matrix </w:t>
      </w:r>
      <w:r>
        <w:rPr>
          <w:rFonts w:ascii="Courier New" w:hAnsi="Courier New"/>
          <w:sz w:val="22"/>
        </w:rPr>
        <w:t>rk = [ranks(c) for c in zstd]</w:t>
      </w:r>
      <w:r>
        <w:t xml:space="preserve"> </w:t>
      </w:r>
      <w:r>
        <w:rPr>
          <w:b/>
        </w:rPr>
        <w:t>once outside</w:t>
      </w:r>
      <w:r>
        <w:t xml:space="preserve"> the per-item loop, passing it through as an argument to </w:t>
      </w:r>
      <w:r>
        <w:rPr>
          <w:rFonts w:ascii="Courier New" w:hAnsi="Courier New"/>
          <w:sz w:val="22"/>
        </w:rPr>
        <w:t>_m4_beta_from_ranks(zstd, rk, q)</w:t>
      </w:r>
      <w:r>
        <w:t xml:space="preserve"> (</w:t>
      </w:r>
      <w:r>
        <w:rPr>
          <w:rFonts w:ascii="Courier New" w:hAnsi="Courier New"/>
          <w:sz w:val="22"/>
        </w:rPr>
        <w:t>difficulty_m4.py:166-182</w:t>
      </w:r>
      <w:r>
        <w:t xml:space="preserve">; the experimental side </w:t>
      </w:r>
      <w:r>
        <w:rPr>
          <w:rFonts w:ascii="Courier New" w:hAnsi="Courier New"/>
          <w:sz w:val="22"/>
        </w:rPr>
        <w:t>run_m4.py</w:t>
      </w:r>
      <w:r>
        <w:t xml:space="preserve">'s </w:t>
      </w:r>
      <w:r>
        <w:rPr>
          <w:rFonts w:ascii="Courier New" w:hAnsi="Courier New"/>
          <w:sz w:val="22"/>
        </w:rPr>
        <w:t>beta_from_q</w:t>
      </w:r>
      <w:r>
        <w:t xml:space="preserve"> is isomorphic, from </w:t>
      </w:r>
      <w:r>
        <w:rPr>
          <w:rFonts w:ascii="Courier New" w:hAnsi="Courier New"/>
          <w:sz w:val="22"/>
        </w:rPr>
        <w:t>:112</w:t>
      </w:r>
      <w:r>
        <w:t xml:space="preserve">, computed once as </w:t>
      </w:r>
      <w:r>
        <w:rPr>
          <w:rFonts w:ascii="Courier New" w:hAnsi="Courier New"/>
          <w:sz w:val="22"/>
        </w:rPr>
        <w:t>R</w:t>
      </w:r>
      <w:r>
        <w:t xml:space="preserve"> by </w:t>
      </w:r>
      <w:r>
        <w:rPr>
          <w:rFonts w:ascii="Courier New" w:hAnsi="Courier New"/>
          <w:sz w:val="22"/>
        </w:rPr>
        <w:t>all_variants</w:t>
      </w:r>
      <w:r>
        <w:t xml:space="preserve"> at </w:t>
      </w:r>
      <w:r>
        <w:rPr>
          <w:rFonts w:ascii="Courier New" w:hAnsi="Courier New"/>
          <w:sz w:val="22"/>
        </w:rPr>
        <w:t>:171</w:t>
      </w:r>
      <w:r>
        <w:t xml:space="preserve"> and passed through). No sorting remains inside the per-item loop. This fix </w:t>
      </w:r>
      <w:r>
        <w:rPr>
          <w:b/>
        </w:rPr>
        <w:t>changes no numerical value</w:t>
      </w:r>
      <w:r>
        <w:t xml:space="preserve">: </w:t>
      </w:r>
      <w:r>
        <w:rPr>
          <w:rFonts w:ascii="Courier New" w:hAnsi="Courier New"/>
          <w:sz w:val="22"/>
        </w:rPr>
        <w:t>rk</w:t>
      </w:r>
      <w:r>
        <w:t xml:space="preserve"> is computed by the same </w:t>
      </w:r>
      <w:r>
        <w:rPr>
          <w:rFonts w:ascii="Courier New" w:hAnsi="Courier New"/>
          <w:sz w:val="22"/>
        </w:rPr>
        <w:t>ranks</w:t>
      </w:r>
      <w:r>
        <w:t xml:space="preserve"> function, and V and the Gaussian-elimination </w:t>
      </w:r>
      <w:r>
        <w:rPr>
          <w:rFonts w:ascii="Courier New" w:hAnsi="Courier New"/>
          <w:sz w:val="22"/>
        </w:rPr>
        <w:t>_solve</w:t>
      </w:r>
      <w:r>
        <w:t xml:space="preserve"> are completely unchanged, so the result is </w:t>
      </w:r>
      <w:r>
        <w:rPr>
          <w:b/>
        </w:rPr>
        <w:t>bit-identical</w:t>
      </w:r>
      <w:r>
        <w:t xml:space="preserve"> to inline recomputation — locked down by the four assertions of </w:t>
      </w:r>
      <w:r>
        <w:rPr>
          <w:rFonts w:ascii="Courier New" w:hAnsi="Courier New"/>
          <w:sz w:val="22"/>
        </w:rPr>
        <w:t>tests/test_difficulty_m4.py::TestEfficiencyRefactor</w:t>
      </w:r>
      <w:r>
        <w:t xml:space="preserve"> (equivalence, </w:t>
      </w:r>
      <w:r>
        <w:rPr>
          <w:rFonts w:ascii="Courier New" w:hAnsi="Courier New"/>
          <w:sz w:val="22"/>
        </w:rPr>
        <w:t>ranks_</w:t>
      </w:r>
      <w:r>
        <w:t xml:space="preserve"> pass-through, per-item path reproducible, consistent with inline recomputation).</w:t>
      </w:r>
    </w:p>
    <w:p>
      <w:pPr>
        <w:ind w:firstLine="360"/>
        <w:jc w:val="both"/>
      </w:pPr>
      <w:r>
        <w:rPr>
          <w:b/>
        </w:rPr>
        <w:t xml:space="preserve">Measured speedup (rerun command: </w:t>
      </w:r>
      <w:r>
        <w:rPr>
          <w:rFonts w:ascii="Courier New" w:hAnsi="Courier New"/>
          <w:b/>
          <w:sz w:val="22"/>
        </w:rPr>
        <w:t>python results/code/benchmark_m4_efficiency.py</w:t>
      </w:r>
      <w:r>
        <w:rPr>
          <w:b/>
        </w:rPr>
        <w:t>).</w:t>
      </w:r>
      <w:r>
        <w:t xml:space="preserve"> On synthetic data with m = 7 columns and partial observability (per-item effective observation count 1–9), comparing "recompute ranks inside the loop" (before) with "compute ranks once outside the loop" (after):</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n</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Before (ms)</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After (ms)</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Speedup</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100</w:t>
            </w:r>
          </w:p>
        </w:tc>
        <w:tc>
          <w:tcPr>
            <w:tcW w:type="dxa" w:w="2160"/>
            <w:vAlign w:val="center"/>
            <w:tcMar>
              <w:top w:w="120" w:type="dxa"/>
              <w:bottom w:w="120" w:type="dxa"/>
              <w:left w:w="120" w:type="dxa"/>
              <w:right w:w="120" w:type="dxa"/>
            </w:tcMar>
          </w:tcPr>
          <w:p>
            <w:pPr>
              <w:jc w:val="left"/>
              <w:spacing w:line="240" w:lineRule="auto" w:before="55" w:after="55"/>
            </w:pPr>
            <w:r>
              <w:rPr>
                <w:sz w:val="22"/>
              </w:rPr>
              <w:t>54.50</w:t>
            </w:r>
          </w:p>
        </w:tc>
        <w:tc>
          <w:tcPr>
            <w:tcW w:type="dxa" w:w="2160"/>
            <w:vAlign w:val="center"/>
            <w:tcMar>
              <w:top w:w="120" w:type="dxa"/>
              <w:bottom w:w="120" w:type="dxa"/>
              <w:left w:w="120" w:type="dxa"/>
              <w:right w:w="120" w:type="dxa"/>
            </w:tcMar>
          </w:tcPr>
          <w:p>
            <w:pPr>
              <w:jc w:val="left"/>
              <w:spacing w:line="240" w:lineRule="auto" w:before="55" w:after="55"/>
            </w:pPr>
            <w:r>
              <w:rPr>
                <w:sz w:val="22"/>
              </w:rPr>
              <w:t>42.51</w:t>
            </w:r>
          </w:p>
        </w:tc>
        <w:tc>
          <w:tcPr>
            <w:tcW w:type="dxa" w:w="2160"/>
            <w:vAlign w:val="center"/>
            <w:tcMar>
              <w:top w:w="120" w:type="dxa"/>
              <w:bottom w:w="120" w:type="dxa"/>
              <w:left w:w="120" w:type="dxa"/>
              <w:right w:w="120" w:type="dxa"/>
            </w:tcMar>
          </w:tcPr>
          <w:p>
            <w:pPr>
              <w:jc w:val="left"/>
              <w:spacing w:line="240" w:lineRule="auto" w:before="55" w:after="55"/>
            </w:pPr>
            <w:r>
              <w:rPr>
                <w:sz w:val="22"/>
              </w:rPr>
              <w:t>1.28×</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200</w:t>
            </w:r>
          </w:p>
        </w:tc>
        <w:tc>
          <w:tcPr>
            <w:tcW w:type="dxa" w:w="2160"/>
            <w:vAlign w:val="center"/>
            <w:tcMar>
              <w:top w:w="120" w:type="dxa"/>
              <w:bottom w:w="120" w:type="dxa"/>
              <w:left w:w="120" w:type="dxa"/>
              <w:right w:w="120" w:type="dxa"/>
            </w:tcMar>
          </w:tcPr>
          <w:p>
            <w:pPr>
              <w:jc w:val="left"/>
              <w:spacing w:line="240" w:lineRule="auto" w:before="55" w:after="55"/>
            </w:pPr>
            <w:r>
              <w:rPr>
                <w:sz w:val="22"/>
              </w:rPr>
              <w:t>216.65</w:t>
            </w:r>
          </w:p>
        </w:tc>
        <w:tc>
          <w:tcPr>
            <w:tcW w:type="dxa" w:w="2160"/>
            <w:vAlign w:val="center"/>
            <w:tcMar>
              <w:top w:w="120" w:type="dxa"/>
              <w:bottom w:w="120" w:type="dxa"/>
              <w:left w:w="120" w:type="dxa"/>
              <w:right w:w="120" w:type="dxa"/>
            </w:tcMar>
          </w:tcPr>
          <w:p>
            <w:pPr>
              <w:jc w:val="left"/>
              <w:spacing w:line="240" w:lineRule="auto" w:before="55" w:after="55"/>
            </w:pPr>
            <w:r>
              <w:rPr>
                <w:sz w:val="22"/>
              </w:rPr>
              <w:t>161.45</w:t>
            </w:r>
          </w:p>
        </w:tc>
        <w:tc>
          <w:tcPr>
            <w:tcW w:type="dxa" w:w="2160"/>
            <w:vAlign w:val="center"/>
            <w:tcMar>
              <w:top w:w="120" w:type="dxa"/>
              <w:bottom w:w="120" w:type="dxa"/>
              <w:left w:w="120" w:type="dxa"/>
              <w:right w:w="120" w:type="dxa"/>
            </w:tcMar>
          </w:tcPr>
          <w:p>
            <w:pPr>
              <w:jc w:val="left"/>
              <w:spacing w:line="240" w:lineRule="auto" w:before="55" w:after="55"/>
            </w:pPr>
            <w:r>
              <w:rPr>
                <w:sz w:val="22"/>
              </w:rPr>
              <w:t>1.34×</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400</w:t>
            </w:r>
          </w:p>
        </w:tc>
        <w:tc>
          <w:tcPr>
            <w:tcW w:type="dxa" w:w="2160"/>
            <w:vAlign w:val="center"/>
            <w:tcMar>
              <w:top w:w="120" w:type="dxa"/>
              <w:bottom w:w="120" w:type="dxa"/>
              <w:left w:w="120" w:type="dxa"/>
              <w:right w:w="120" w:type="dxa"/>
            </w:tcMar>
          </w:tcPr>
          <w:p>
            <w:pPr>
              <w:jc w:val="left"/>
              <w:spacing w:line="240" w:lineRule="auto" w:before="55" w:after="55"/>
            </w:pPr>
            <w:r>
              <w:rPr>
                <w:sz w:val="22"/>
              </w:rPr>
              <w:t>905.70</w:t>
            </w:r>
          </w:p>
        </w:tc>
        <w:tc>
          <w:tcPr>
            <w:tcW w:type="dxa" w:w="2160"/>
            <w:vAlign w:val="center"/>
            <w:tcMar>
              <w:top w:w="120" w:type="dxa"/>
              <w:bottom w:w="120" w:type="dxa"/>
              <w:left w:w="120" w:type="dxa"/>
              <w:right w:w="120" w:type="dxa"/>
            </w:tcMar>
          </w:tcPr>
          <w:p>
            <w:pPr>
              <w:jc w:val="left"/>
              <w:spacing w:line="240" w:lineRule="auto" w:before="55" w:after="55"/>
            </w:pPr>
            <w:r>
              <w:rPr>
                <w:sz w:val="22"/>
              </w:rPr>
              <w:t>652.98</w:t>
            </w:r>
          </w:p>
        </w:tc>
        <w:tc>
          <w:tcPr>
            <w:tcW w:type="dxa" w:w="2160"/>
            <w:vAlign w:val="center"/>
            <w:tcMar>
              <w:top w:w="120" w:type="dxa"/>
              <w:bottom w:w="120" w:type="dxa"/>
              <w:left w:w="120" w:type="dxa"/>
              <w:right w:w="120" w:type="dxa"/>
            </w:tcMar>
          </w:tcPr>
          <w:p>
            <w:pPr>
              <w:jc w:val="left"/>
              <w:spacing w:line="240" w:lineRule="auto" w:before="55" w:after="55"/>
            </w:pPr>
            <w:r>
              <w:rPr>
                <w:sz w:val="22"/>
              </w:rPr>
              <w:t>1.39×</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800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3772.13</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2584.87</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1.46×</w:t>
            </w:r>
          </w:p>
        </w:tc>
      </w:tr>
    </w:tbl>
    <w:p>
      <w:pPr>
        <w:ind w:firstLine="360"/>
        <w:jc w:val="both"/>
      </w:pPr>
      <w:r>
        <w:t xml:space="preserve">The speedup rises monotonically with n: the redundant O(n) sorting factor occupies a larger share at larger n, confirming the bottleneck localization; at DBE's real scale (n ≈ 212) it is about 1.34×. This gain comes from </w:t>
      </w:r>
      <w:r>
        <w:rPr>
          <w:b/>
        </w:rPr>
        <w:t>eliminating duplicated work</w:t>
      </w:r>
      <w:r>
        <w:t xml:space="preserve"> rather than approximation, so it has zero precision cost — </w:t>
      </w:r>
      <w:r>
        <w:rPr>
          <w:rFonts w:ascii="Courier New" w:hAnsi="Courier New"/>
          <w:sz w:val="22"/>
        </w:rPr>
        <w:t>m4_results.json</w:t>
      </w:r>
      <w:r>
        <w:t xml:space="preserve"> is </w:t>
      </w:r>
      <w:r>
        <w:rPr>
          <w:b/>
        </w:rPr>
        <w:t>bit-unchanged</w:t>
      </w:r>
      <w:r>
        <w:t xml:space="preserve"> after a full rerun (Appendix A reproducibility checklist item 2).</w:t>
      </w:r>
    </w:p>
    <w:p>
      <w:pPr>
        <w:ind w:firstLine="360"/>
        <w:jc w:val="both"/>
      </w:pPr>
      <w:r>
        <w:rPr>
          <w:b/>
        </w:rPr>
        <w:t>Why we did not also do an LU-decomposition speedup (honest note).</w:t>
      </w:r>
      <w:r>
        <w:t xml:space="preserve"> V is identical across items on the per-item path, so in principle one could do a </w:t>
      </w:r>
      <w:r>
        <w:rPr>
          <w:b/>
        </w:rPr>
        <w:t>single</w:t>
      </w:r>
      <w:r>
        <w:t xml:space="preserve"> LU decomposition of V and n forward/back substitutions (O(m³)+O(n·m²)), reducing the O(n·m³) Gaussian elimination to constant.We </w:t>
      </w:r>
      <w:r>
        <w:rPr>
          <w:b/>
        </w:rPr>
        <w:t>did not adopt</w:t>
      </w:r>
      <w:r>
        <w:t xml:space="preserve"> this, for two reasons: ① this project's floating-point red line requires "every number in the document to be machine-recomputable," and the per-item summation uses Neumaier-compensated </w:t>
      </w:r>
      <w:r>
        <w:rPr>
          <w:rFonts w:ascii="Courier New" w:hAnsi="Courier New"/>
          <w:sz w:val="22"/>
        </w:rPr>
        <w:t>sum()</w:t>
      </w:r>
      <w:r>
        <w:t>; ② LU decomposition would change the floating-point summation order inside Gaussian elimination, which, though mathematically equivalent, could diverge at the last ulp.</w:t>
      </w:r>
    </w:p>
    <w:p>
      <w:pPr>
        <w:ind w:firstLine="360"/>
        <w:jc w:val="both"/>
      </w:pPr>
      <w:r>
        <w:t xml:space="preserve">Since this optimization already eliminates redundancy without touching </w:t>
      </w:r>
      <w:r>
        <w:rPr>
          <w:rFonts w:ascii="Courier New" w:hAnsi="Courier New"/>
          <w:sz w:val="22"/>
        </w:rPr>
        <w:t>_solve</w:t>
      </w:r>
      <w:r>
        <w:t>, and the paper's numbers are fidelity-preserved by a full rerun, we chose "zero precision cost" over "more aggressive speedup"; LU decomposition is left as a future optimization for the pure cold-start production path (which does not undergo exogenous recomputation).</w:t>
      </w:r>
    </w:p>
    <w:p>
      <w:bookmarkStart w:id="3" w:name="section-4"/>
      <w:pPr>
        <w:pStyle w:val="Heading2"/>
      </w:pPr>
      <w:bookmarkEnd w:id="3"/>
      <w:r>
        <w:rPr>
          <w:rFonts w:ascii="Times New Roman" w:hAnsi="Times New Roman"/>
          <w:b/>
          <w:color w:val="000000"/>
          <w:sz w:val="28"/>
        </w:rPr>
        <w:t>4 Data, Protocols, and Experimental Design</w:t>
      </w:r>
    </w:p>
    <w:p>
      <w:pPr>
        <w:pStyle w:val="Heading3"/>
      </w:pPr>
      <w:r>
        <w:rPr>
          <w:rFonts w:ascii="Times New Roman" w:hAnsi="Times New Roman"/>
          <w:b/>
          <w:color w:val="000000"/>
          <w:sz w:val="24"/>
        </w:rPr>
        <w:t>4.1 Data sources and licensing</w:t>
      </w:r>
    </w:p>
    <w:p>
      <w:pPr>
        <w:ind w:firstLine="360"/>
        <w:jc w:val="both"/>
      </w:pPr>
      <w:r>
        <w:t>DBE-KT22 (</w:t>
      </w:r>
      <w:r>
        <w:rPr>
          <w:rFonts w:ascii="Courier New" w:hAnsi="Courier New"/>
          <w:sz w:val="22"/>
        </w:rPr>
        <w:t>abdelrahman2022dbekt22</w:t>
      </w:r>
      <w:r>
        <w:t xml:space="preserve">, ADA Dataverse DOI 10.26193/6DZWOH) provides 212 items with parseable difficulty labels and partially observable </w:t>
      </w:r>
      <w:r>
        <w:rPr>
          <w:rFonts w:ascii="Courier New" w:hAnsi="Courier New"/>
          <w:sz w:val="22"/>
        </w:rPr>
        <w:t>difficulty_feedback</w:t>
      </w:r>
      <w:r>
        <w:t xml:space="preserve"> / </w:t>
      </w:r>
      <w:r>
        <w:rPr>
          <w:rFonts w:ascii="Courier New" w:hAnsi="Courier New"/>
          <w:sz w:val="22"/>
        </w:rPr>
        <w:t>trust_feedback</w:t>
      </w:r>
      <w:r>
        <w:t xml:space="preserve"> columns, forming the source of M4-D and the P1a exogenous criterion.Junyi Academy (official Kaggle package, CC BY-NC-SA 4.0, cite Chang, Hsu, and Chen, EDM 2015) provides 1,234 exercises with platform difficulty labels, forming the source of this paper's P1b secondary criterion and the P2 holdoutcontrol.</w:t>
      </w:r>
    </w:p>
    <w:p>
      <w:pPr>
        <w:ind w:firstLine="360"/>
        <w:jc w:val="both"/>
      </w:pPr>
      <w:r>
        <w:t xml:space="preserve">Both datasets are </w:t>
      </w:r>
      <w:r>
        <w:rPr>
          <w:b/>
        </w:rPr>
        <w:t>knowledge-tracing (KT)</w:t>
      </w:r>
      <w:r>
        <w:t xml:space="preserve"> benchmarks; the classic BKT (Corbett &amp; Anderson, 1994, </w:t>
      </w:r>
      <w:r>
        <w:rPr>
          <w:rFonts w:ascii="Courier New" w:hAnsi="Courier New"/>
          <w:sz w:val="22"/>
        </w:rPr>
        <w:t>corbett1994knowledge</w:t>
      </w:r>
      <w:r>
        <w:t xml:space="preserve">) already characterizes skill acquisition with per-item difficulty as a latent parameter, and our difficulty combination is precisely the estimability prerequisite of BKT's difficulty parameter under </w:t>
      </w:r>
      <w:r>
        <w:rPr>
          <w:b/>
        </w:rPr>
        <w:t>cold-start (no-label)</w:t>
      </w:r>
      <w:r>
        <w:t xml:space="preserve"> conditions; for a more systematic context see Abdelrahman et al.(2023, </w:t>
      </w:r>
      <w:r>
        <w:rPr>
          <w:rFonts w:ascii="Courier New" w:hAnsi="Courier New"/>
          <w:sz w:val="22"/>
        </w:rPr>
        <w:t>abdelrahman2023knowledge</w:t>
      </w:r>
      <w:r>
        <w:t xml:space="preserve">)'s KT survey.Both datasets must be cited under the licenses above; Junyi </w:t>
      </w:r>
      <w:r>
        <w:rPr>
          <w:b/>
        </w:rPr>
        <w:t>prohibits any commercial use</w:t>
      </w:r>
      <w:r>
        <w:t>.</w:t>
      </w:r>
    </w:p>
    <w:p>
      <w:pPr>
        <w:pStyle w:val="Heading3"/>
      </w:pPr>
      <w:r>
        <w:rPr>
          <w:rFonts w:ascii="Times New Roman" w:hAnsi="Times New Roman"/>
          <w:b/>
          <w:color w:val="000000"/>
          <w:sz w:val="24"/>
        </w:rPr>
        <w:t>4.2 Signals and preprocessing</w:t>
      </w:r>
    </w:p>
    <w:p>
      <w:pPr>
        <w:ind w:firstLine="360"/>
        <w:jc w:val="both"/>
      </w:pPr>
      <w:r>
        <w:t>All signals are unified by M1's ECDF–logit transform (</w:t>
      </w:r>
      <w:r>
        <w:rPr>
          <w:rFonts w:ascii="Courier New" w:hAnsi="Courier New"/>
          <w:sz w:val="22"/>
        </w:rPr>
        <w:t>app/services/difficulty_fusion.py::ecdf_logit</w:t>
      </w:r>
      <w:r>
        <w:t xml:space="preserve">) into "larger = harder": the reference column </w:t>
      </w:r>
      <w:r>
        <w:rPr>
          <w:rFonts w:ascii="Courier New" w:hAnsi="Courier New"/>
          <w:sz w:val="22"/>
        </w:rPr>
        <w:t>success_rate</w:t>
      </w:r>
      <w:r>
        <w:t xml:space="preserve"> is negated (code evidence: </w:t>
      </w:r>
      <w:r>
        <w:rPr>
          <w:rFonts w:ascii="Courier New" w:hAnsi="Courier New"/>
          <w:sz w:val="22"/>
        </w:rPr>
        <w:t>_z_columns</w:t>
      </w:r>
      <w:r>
        <w:t xml:space="preserve"> at </w:t>
      </w:r>
      <w:r>
        <w:rPr>
          <w:rFonts w:ascii="Courier New" w:hAnsi="Courier New"/>
          <w:sz w:val="22"/>
        </w:rPr>
        <w:t>app/services/difficulty_m4.py:217-225</w:t>
      </w:r>
      <w:r>
        <w:t xml:space="preserve">). This transform is invariant to any monotonic reparametrization (M1/O1 conclusion), so M4-A's rank-correlation estimation does not break that invariance. The signal set </w:t>
      </w:r>
      <w:r>
        <w:rPr>
          <w:rFonts w:ascii="Courier New" w:hAnsi="Courier New"/>
          <w:sz w:val="22"/>
        </w:rPr>
        <w:t>M4_DEFAULT_SIGNALS</w:t>
      </w:r>
      <w:r>
        <w:t xml:space="preserve"> (</w:t>
      </w:r>
      <w:r>
        <w:rPr>
          <w:rFonts w:ascii="Courier New" w:hAnsi="Courier New"/>
          <w:sz w:val="22"/>
        </w:rPr>
        <w:t>app/services/difficulty_m4.py:61-69</w:t>
      </w:r>
      <w:r>
        <w:t xml:space="preserve">) contains 7 columns, but different systems may use different columns available (DBE lacks </w:t>
      </w:r>
      <w:r>
        <w:rPr>
          <w:rFonts w:ascii="Courier New" w:hAnsi="Courier New"/>
          <w:sz w:val="22"/>
        </w:rPr>
        <w:t>upgrade_rate</w:t>
      </w:r>
      <w:r>
        <w:t>/</w:t>
      </w:r>
      <w:r>
        <w:rPr>
          <w:rFonts w:ascii="Courier New" w:hAnsi="Courier New"/>
          <w:sz w:val="22"/>
        </w:rPr>
        <w:t>downgrade</w:t>
      </w:r>
      <w:r>
        <w:t>/</w:t>
      </w:r>
      <w:r>
        <w:rPr>
          <w:rFonts w:ascii="Courier New" w:hAnsi="Courier New"/>
          <w:sz w:val="22"/>
        </w:rPr>
        <w:t>repeat</w:t>
      </w:r>
      <w:r>
        <w:t>), and M4 allows passing only a subset.</w:t>
      </w:r>
    </w:p>
    <w:p>
      <w:pPr>
        <w:pStyle w:val="Heading3"/>
      </w:pPr>
      <w:r>
        <w:rPr>
          <w:rFonts w:ascii="Times New Roman" w:hAnsi="Times New Roman"/>
          <w:b/>
          <w:color w:val="000000"/>
          <w:sz w:val="24"/>
        </w:rPr>
        <w:t>4.3 Three protocols and Kendall τ_b</w:t>
      </w:r>
    </w:p>
    <w:p>
      <w:pPr>
        <w:ind w:firstLine="360"/>
        <w:jc w:val="both"/>
      </w:pPr>
      <w:r>
        <w:rPr>
          <w:b/>
        </w:rPr>
        <w:t>P1a (exogenous criterion = DBE-KT22 teacher difficulty labels).</w:t>
      </w:r>
      <w:r>
        <w:t xml:space="preserve"> This is the </w:t>
      </w:r>
      <w:r>
        <w:rPr>
          <w:b/>
        </w:rPr>
        <w:t>only</w:t>
      </w:r>
      <w:r>
        <w:t xml:space="preserve"> exogenous benchmark of this paper (samesense as recommendation report R7). The item-level three-tier labels cause many ties, so following R7's norm we use </w:t>
      </w:r>
      <w:r>
        <w:rPr>
          <w:b/>
        </w:rPr>
        <w:t>Kendall τ_b</w:t>
      </w:r>
      <w:r>
        <w:t xml:space="preserve"> (robust to ties) rather than Spearman; n_items = 212, reps = 20, k ∈ {10, 25, 50, 100, 200} (k is the reservoir slot count).</w:t>
      </w:r>
    </w:p>
    <w:p>
      <w:pPr>
        <w:ind w:firstLine="360"/>
        <w:jc w:val="both"/>
      </w:pPr>
      <w:r>
        <w:rPr>
          <w:b/>
        </w:rPr>
        <w:t>P1b (secondary criterion = Junyi platform difficulty labels).</w:t>
      </w:r>
      <w:r>
        <w:t xml:space="preserve"> Same τ_bsense, n_items = 1,234, reps = 8. Its status is </w:t>
      </w:r>
      <w:r>
        <w:rPr>
          <w:b/>
        </w:rPr>
        <w:t>secondary</w:t>
      </w:r>
      <w:r>
        <w:t xml:space="preserve"> — the platform labels areco-sourced with the logs (not independently exogenous), used only as acontrol of "if we switch to anotherco-sourced label, does the conclusion flip."</w:t>
      </w:r>
    </w:p>
    <w:p>
      <w:pPr>
        <w:ind w:firstLine="360"/>
        <w:jc w:val="both"/>
      </w:pPr>
      <w:r>
        <w:rPr>
          <w:b/>
        </w:rPr>
        <w:t>P2 (holdout error rate, non-exogenous, only acontrol).</w:t>
      </w:r>
      <w:r>
        <w:t xml:space="preserve"> Following M1's holdout protocol (fit block A and criterion block B are mutually exclusive), the criterion is the true future-sample performance (error rate). This criterion is </w:t>
      </w:r>
      <w:r>
        <w:rPr>
          <w:b/>
        </w:rPr>
        <w:t>non-exogenous</w:t>
      </w:r>
      <w:r>
        <w:t xml:space="preserve"> (co-sourced with training data); this paper uses it </w:t>
      </w:r>
      <w:r>
        <w:rPr>
          <w:b/>
        </w:rPr>
        <w:t>only as a consistencycontrol</w:t>
      </w:r>
      <w:r>
        <w:t xml:space="preserve"> and does not claim an M4-E gain from it (see §5.6).</w:t>
      </w:r>
    </w:p>
    <w:p>
      <w:pPr>
        <w:ind w:firstLine="360"/>
        <w:jc w:val="both"/>
      </w:pPr>
      <w:r>
        <w:rPr>
          <w:b/>
        </w:rPr>
        <w:t>Protocol-reporting discipline (adopting R5 / Kolesnikova et al., 2026).</w:t>
      </w:r>
      <w:r>
        <w:t xml:space="preserve"> Every protocol reports analytic success rate / number of parseable items as part of the reliability boundary, never removed from the results (see each protocol's footnote).</w:t>
      </w:r>
    </w:p>
    <w:p>
      <w:pPr>
        <w:pStyle w:val="Heading3"/>
      </w:pPr>
      <w:r>
        <w:rPr>
          <w:rFonts w:ascii="Times New Roman" w:hAnsi="Times New Roman"/>
          <w:b/>
          <w:color w:val="000000"/>
          <w:sz w:val="24"/>
        </w:rPr>
        <w:t>4.4 Statistical tests</w:t>
      </w:r>
    </w:p>
    <w:p>
      <w:pPr>
        <w:ind w:firstLine="360"/>
        <w:jc w:val="both"/>
      </w:pPr>
      <w:r>
        <w:t>Within-group paired comparison: for each k, over the reps resamples we compute the difference sequence "estimator τ_b − success-rate-only baseline τ_b," reporting the mean Δ, standard deviation sd, paired t = Δ/(sd/√reps), and binomial win-rate win_rate (proportion where estimator &gt; baseline, two-sided binomial test). The paired effect size is reported as Cohen's d_z = t/√n_pairs (n_pairs = reps) for cross-k effect-strength comparison. Significance on the exogenous criterion follows P1a's paired t and win_rate; τ_b is used because the three-tier labels cause many ties (following R7's norm).</w:t>
      </w:r>
    </w:p>
    <w:p>
      <w:bookmarkStart w:id="4" w:name="section-5"/>
      <w:pPr>
        <w:pStyle w:val="Heading2"/>
      </w:pPr>
      <w:bookmarkEnd w:id="4"/>
      <w:r>
        <w:rPr>
          <w:rFonts w:ascii="Times New Roman" w:hAnsi="Times New Roman"/>
          <w:b/>
          <w:color w:val="000000"/>
          <w:sz w:val="28"/>
        </w:rPr>
        <w:t>5 Results</w:t>
      </w:r>
    </w:p>
    <w:p>
      <w:pPr>
        <w:pStyle w:val="Heading3"/>
      </w:pPr>
      <w:r>
        <w:rPr>
          <w:rFonts w:ascii="Times New Roman" w:hAnsi="Times New Roman"/>
          <w:b/>
          <w:color w:val="000000"/>
          <w:sz w:val="24"/>
        </w:rPr>
        <w:t>5.1 Numerical companion of Proposition P1 (summary)</w:t>
      </w:r>
    </w:p>
    <w:p>
      <w:pPr>
        <w:ind w:firstLine="360"/>
        <w:jc w:val="both"/>
      </w:pPr>
      <w:r>
        <w:t>See the tables and footnotes of §3.1: the two additively-separable rules have minimum ρ = 1.0 vs u (all 96 groups identity), convergence certificate ‖∇ℓ‖_∞ = 1e-11; the two violation sources have maximum ρ of 1.0 (probability-domain averaging) and 0.996992 (per-pair missingness) respectively; mechanism diagnosis shows probability-domain averaging implicitly moves toward precision weighting (0.96404 &gt; 0.939289). This companion confirms Proposition P1 and gives a numerical window into "what LLM judges actually do."</w:t>
      </w:r>
    </w:p>
    <w:p>
      <w:pPr>
        <w:pStyle w:val="Heading3"/>
      </w:pPr>
      <w:r>
        <w:rPr>
          <w:rFonts w:ascii="Times New Roman" w:hAnsi="Times New Roman"/>
          <w:b/>
          <w:color w:val="000000"/>
          <w:sz w:val="24"/>
        </w:rPr>
        <w:t>5.2 DBE exogenous teacher labels: M4 collapses with k (negative result)</w:t>
      </w:r>
    </w:p>
    <w:p>
      <w:pPr>
        <w:ind w:firstLine="360"/>
        <w:jc w:val="both"/>
      </w:pPr>
      <w:r>
        <w:rPr>
          <w:b/>
        </w:rPr>
        <w:t>Chapter summary (Chapter 5).</w:t>
      </w:r>
      <w:r>
        <w:t xml:space="preserve"> This chapter reports five groups of measurements. §5.1 summarizes the P1 companion; §5.2 gives the negative result that the full M4 estimator collapses with k on the exogenous DBE criterion (core); §5.3 diagnoses the collapse root cause via the divergence of derived λ and out-of-fold λ; §5.4 reports M4-E repairing the collapse; §5.5 reports M4 winning everywhere on Junyi platform labels, highlighting criterion-dependence; §5.6 reports the P2 holdoutcontrol (non-exogenous, only acontrol).</w:t>
      </w:r>
    </w:p>
    <w:p>
      <w:pPr>
        <w:ind w:firstLine="360"/>
        <w:jc w:val="both"/>
      </w:pPr>
      <w:r>
        <w:t xml:space="preserve">Table 5-1 gives the P1a exogenous results (n_items = 212, reps = 20, Kendall τ_b; rerun command: </w:t>
      </w:r>
      <w:r>
        <w:rPr>
          <w:rFonts w:ascii="Courier New" w:hAnsi="Courier New"/>
          <w:sz w:val="22"/>
        </w:rPr>
        <w:t>python results/code/run_m4.py</w:t>
      </w:r>
      <w:r>
        <w:t xml:space="preserve"> → </w:t>
      </w:r>
      <w:r>
        <w:rPr>
          <w:rFonts w:ascii="Courier New" w:hAnsi="Courier New"/>
          <w:sz w:val="22"/>
        </w:rPr>
        <w:t>results/code/m4_results.json</w:t>
      </w:r>
      <w:r>
        <w:t xml:space="preserve">, protocol </w:t>
      </w:r>
      <w:r>
        <w:rPr>
          <w:rFonts w:ascii="Courier New" w:hAnsi="Courier New"/>
          <w:sz w:val="22"/>
        </w:rPr>
        <w:t>P1_dbe_teacher_labels</w:t>
      </w:r>
      <w:r>
        <w:t>).</w:t>
      </w:r>
    </w:p>
    <w:tbl>
      <w:tblPr>
        <w:tblW w:type="pct" w:w="5000"/>
        <w:tblLook w:firstColumn="1" w:firstRow="1" w:lastColumn="0" w:lastRow="0" w:noHBand="0" w:noVBand="1" w:val="04A0"/>
        <w:tblLayout w:type="autofit"/>
      </w:tblPr>
      <w:tblGrid>
        <w:gridCol w:w="1728"/>
        <w:gridCol w:w="1728"/>
        <w:gridCol w:w="1728"/>
        <w:gridCol w:w="1728"/>
        <w:gridCol w:w="1728"/>
      </w:tblGrid>
      <w:tr>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Success-rate-only (baseline)</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srw7_cf (existing best)</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m4_full (M4-A/B/C)</w:t>
            </w:r>
          </w:p>
        </w:tc>
        <w:tc>
          <w:tcPr>
            <w:tcW w:type="dxa" w:w="1728"/>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m4_E_cf (M4-E)</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10</w:t>
            </w:r>
          </w:p>
        </w:tc>
        <w:tc>
          <w:tcPr>
            <w:tcW w:type="dxa" w:w="1728"/>
            <w:vAlign w:val="center"/>
            <w:tcMar>
              <w:top w:w="120" w:type="dxa"/>
              <w:bottom w:w="120" w:type="dxa"/>
              <w:left w:w="120" w:type="dxa"/>
              <w:right w:w="120" w:type="dxa"/>
            </w:tcMar>
          </w:tcPr>
          <w:p>
            <w:pPr>
              <w:jc w:val="left"/>
              <w:spacing w:line="240" w:lineRule="auto" w:before="55" w:after="55"/>
            </w:pPr>
            <w:r>
              <w:rPr>
                <w:sz w:val="22"/>
              </w:rPr>
              <w:t>0.1704</w:t>
            </w:r>
          </w:p>
        </w:tc>
        <w:tc>
          <w:tcPr>
            <w:tcW w:type="dxa" w:w="1728"/>
            <w:vAlign w:val="center"/>
            <w:tcMar>
              <w:top w:w="120" w:type="dxa"/>
              <w:bottom w:w="120" w:type="dxa"/>
              <w:left w:w="120" w:type="dxa"/>
              <w:right w:w="120" w:type="dxa"/>
            </w:tcMar>
          </w:tcPr>
          <w:p>
            <w:pPr>
              <w:jc w:val="left"/>
              <w:spacing w:line="240" w:lineRule="auto" w:before="55" w:after="55"/>
            </w:pPr>
            <w:r>
              <w:rPr>
                <w:sz w:val="22"/>
              </w:rPr>
              <w:t>0.1721</w:t>
            </w:r>
          </w:p>
        </w:tc>
        <w:tc>
          <w:tcPr>
            <w:tcW w:type="dxa" w:w="1728"/>
            <w:vAlign w:val="center"/>
            <w:tcMar>
              <w:top w:w="120" w:type="dxa"/>
              <w:bottom w:w="120" w:type="dxa"/>
              <w:left w:w="120" w:type="dxa"/>
              <w:right w:w="120" w:type="dxa"/>
            </w:tcMar>
          </w:tcPr>
          <w:p>
            <w:pPr>
              <w:jc w:val="left"/>
              <w:spacing w:line="240" w:lineRule="auto" w:before="55" w:after="55"/>
            </w:pPr>
            <w:r>
              <w:rPr>
                <w:sz w:val="22"/>
              </w:rPr>
              <w:t>0.1596 (−0.0125, 0.30)</w:t>
            </w:r>
          </w:p>
        </w:tc>
        <w:tc>
          <w:tcPr>
            <w:tcW w:type="dxa" w:w="1728"/>
            <w:vAlign w:val="center"/>
            <w:tcMar>
              <w:top w:w="120" w:type="dxa"/>
              <w:bottom w:w="120" w:type="dxa"/>
              <w:left w:w="120" w:type="dxa"/>
              <w:right w:w="120" w:type="dxa"/>
            </w:tcMar>
          </w:tcPr>
          <w:p>
            <w:pPr>
              <w:jc w:val="left"/>
              <w:spacing w:line="240" w:lineRule="auto" w:before="55" w:after="55"/>
            </w:pPr>
            <w:r>
              <w:rPr>
                <w:sz w:val="22"/>
              </w:rPr>
              <w:t>0.1425 (−0.0296, 0.15)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25</w:t>
            </w:r>
          </w:p>
        </w:tc>
        <w:tc>
          <w:tcPr>
            <w:tcW w:type="dxa" w:w="1728"/>
            <w:vAlign w:val="center"/>
            <w:tcMar>
              <w:top w:w="120" w:type="dxa"/>
              <w:bottom w:w="120" w:type="dxa"/>
              <w:left w:w="120" w:type="dxa"/>
              <w:right w:w="120" w:type="dxa"/>
            </w:tcMar>
          </w:tcPr>
          <w:p>
            <w:pPr>
              <w:jc w:val="left"/>
              <w:spacing w:line="240" w:lineRule="auto" w:before="55" w:after="55"/>
            </w:pPr>
            <w:r>
              <w:rPr>
                <w:sz w:val="22"/>
              </w:rPr>
              <w:t>0.1691</w:t>
            </w:r>
          </w:p>
        </w:tc>
        <w:tc>
          <w:tcPr>
            <w:tcW w:type="dxa" w:w="1728"/>
            <w:vAlign w:val="center"/>
            <w:tcMar>
              <w:top w:w="120" w:type="dxa"/>
              <w:bottom w:w="120" w:type="dxa"/>
              <w:left w:w="120" w:type="dxa"/>
              <w:right w:w="120" w:type="dxa"/>
            </w:tcMar>
          </w:tcPr>
          <w:p>
            <w:pPr>
              <w:jc w:val="left"/>
              <w:spacing w:line="240" w:lineRule="auto" w:before="55" w:after="55"/>
            </w:pPr>
            <w:r>
              <w:rPr>
                <w:sz w:val="22"/>
              </w:rPr>
              <w:t>0.1772</w:t>
            </w:r>
          </w:p>
        </w:tc>
        <w:tc>
          <w:tcPr>
            <w:tcW w:type="dxa" w:w="1728"/>
            <w:vAlign w:val="center"/>
            <w:tcMar>
              <w:top w:w="120" w:type="dxa"/>
              <w:bottom w:w="120" w:type="dxa"/>
              <w:left w:w="120" w:type="dxa"/>
              <w:right w:w="120" w:type="dxa"/>
            </w:tcMar>
          </w:tcPr>
          <w:p>
            <w:pPr>
              <w:jc w:val="left"/>
              <w:spacing w:line="240" w:lineRule="auto" w:before="55" w:after="55"/>
            </w:pPr>
            <w:r>
              <w:rPr>
                <w:sz w:val="22"/>
              </w:rPr>
              <w:t>0.1680 (−0.0092, 0.40)</w:t>
            </w:r>
          </w:p>
        </w:tc>
        <w:tc>
          <w:tcPr>
            <w:tcW w:type="dxa" w:w="1728"/>
            <w:vAlign w:val="center"/>
            <w:tcMar>
              <w:top w:w="120" w:type="dxa"/>
              <w:bottom w:w="120" w:type="dxa"/>
              <w:left w:w="120" w:type="dxa"/>
              <w:right w:w="120" w:type="dxa"/>
            </w:tcMar>
          </w:tcPr>
          <w:p>
            <w:pPr>
              <w:jc w:val="left"/>
              <w:spacing w:line="240" w:lineRule="auto" w:before="55" w:after="55"/>
            </w:pPr>
            <w:r>
              <w:rPr>
                <w:sz w:val="22"/>
              </w:rPr>
              <w:t>0.1784 (+0.0012, 0.45)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50</w:t>
            </w:r>
          </w:p>
        </w:tc>
        <w:tc>
          <w:tcPr>
            <w:tcW w:type="dxa" w:w="1728"/>
            <w:vAlign w:val="center"/>
            <w:tcMar>
              <w:top w:w="120" w:type="dxa"/>
              <w:bottom w:w="120" w:type="dxa"/>
              <w:left w:w="120" w:type="dxa"/>
              <w:right w:w="120" w:type="dxa"/>
            </w:tcMar>
          </w:tcPr>
          <w:p>
            <w:pPr>
              <w:jc w:val="left"/>
              <w:spacing w:line="240" w:lineRule="auto" w:before="55" w:after="55"/>
            </w:pPr>
            <w:r>
              <w:rPr>
                <w:sz w:val="22"/>
              </w:rPr>
              <w:t>0.1668</w:t>
            </w:r>
          </w:p>
        </w:tc>
        <w:tc>
          <w:tcPr>
            <w:tcW w:type="dxa" w:w="1728"/>
            <w:vAlign w:val="center"/>
            <w:tcMar>
              <w:top w:w="120" w:type="dxa"/>
              <w:bottom w:w="120" w:type="dxa"/>
              <w:left w:w="120" w:type="dxa"/>
              <w:right w:w="120" w:type="dxa"/>
            </w:tcMar>
          </w:tcPr>
          <w:p>
            <w:pPr>
              <w:jc w:val="left"/>
              <w:spacing w:line="240" w:lineRule="auto" w:before="55" w:after="55"/>
            </w:pPr>
            <w:r>
              <w:rPr>
                <w:sz w:val="22"/>
              </w:rPr>
              <w:t>0.1719</w:t>
            </w:r>
          </w:p>
        </w:tc>
        <w:tc>
          <w:tcPr>
            <w:tcW w:type="dxa" w:w="1728"/>
            <w:vAlign w:val="center"/>
            <w:tcMar>
              <w:top w:w="120" w:type="dxa"/>
              <w:bottom w:w="120" w:type="dxa"/>
              <w:left w:w="120" w:type="dxa"/>
              <w:right w:w="120" w:type="dxa"/>
            </w:tcMar>
          </w:tcPr>
          <w:p>
            <w:pPr>
              <w:jc w:val="left"/>
              <w:spacing w:line="240" w:lineRule="auto" w:before="55" w:after="55"/>
            </w:pPr>
            <w:r>
              <w:rPr>
                <w:sz w:val="22"/>
              </w:rPr>
              <w:t>0.1519 (−0.0200, 0.20)</w:t>
            </w:r>
          </w:p>
        </w:tc>
        <w:tc>
          <w:tcPr>
            <w:tcW w:type="dxa" w:w="1728"/>
            <w:vAlign w:val="center"/>
            <w:tcMar>
              <w:top w:w="120" w:type="dxa"/>
              <w:bottom w:w="120" w:type="dxa"/>
              <w:left w:w="120" w:type="dxa"/>
              <w:right w:w="120" w:type="dxa"/>
            </w:tcMar>
          </w:tcPr>
          <w:p>
            <w:pPr>
              <w:jc w:val="left"/>
              <w:spacing w:line="240" w:lineRule="auto" w:before="55" w:after="55"/>
            </w:pPr>
            <w:r>
              <w:rPr>
                <w:sz w:val="22"/>
              </w:rPr>
              <w:t>0.1739 (+0.0020, 0.65)</w:t>
            </w:r>
          </w:p>
        </w:tc>
      </w:tr>
      <w:tr>
        <w:tc>
          <w:tcPr>
            <w:tcW w:type="dxa" w:w="1728"/>
            <w:vAlign w:val="center"/>
            <w:tcMar>
              <w:top w:w="120" w:type="dxa"/>
              <w:bottom w:w="120" w:type="dxa"/>
              <w:left w:w="120" w:type="dxa"/>
              <w:right w:w="120" w:type="dxa"/>
            </w:tcMar>
          </w:tcPr>
          <w:p>
            <w:pPr>
              <w:jc w:val="left"/>
              <w:spacing w:line="240" w:lineRule="auto" w:before="55" w:after="55"/>
            </w:pPr>
            <w:r>
              <w:rPr>
                <w:sz w:val="22"/>
              </w:rPr>
              <w:t>100</w:t>
            </w:r>
          </w:p>
        </w:tc>
        <w:tc>
          <w:tcPr>
            <w:tcW w:type="dxa" w:w="1728"/>
            <w:vAlign w:val="center"/>
            <w:tcMar>
              <w:top w:w="120" w:type="dxa"/>
              <w:bottom w:w="120" w:type="dxa"/>
              <w:left w:w="120" w:type="dxa"/>
              <w:right w:w="120" w:type="dxa"/>
            </w:tcMar>
          </w:tcPr>
          <w:p>
            <w:pPr>
              <w:jc w:val="left"/>
              <w:spacing w:line="240" w:lineRule="auto" w:before="55" w:after="55"/>
            </w:pPr>
            <w:r>
              <w:rPr>
                <w:sz w:val="22"/>
              </w:rPr>
              <w:t>0.1686</w:t>
            </w:r>
          </w:p>
        </w:tc>
        <w:tc>
          <w:tcPr>
            <w:tcW w:type="dxa" w:w="1728"/>
            <w:vAlign w:val="center"/>
            <w:tcMar>
              <w:top w:w="120" w:type="dxa"/>
              <w:bottom w:w="120" w:type="dxa"/>
              <w:left w:w="120" w:type="dxa"/>
              <w:right w:w="120" w:type="dxa"/>
            </w:tcMar>
          </w:tcPr>
          <w:p>
            <w:pPr>
              <w:jc w:val="left"/>
              <w:spacing w:line="240" w:lineRule="auto" w:before="55" w:after="55"/>
            </w:pPr>
            <w:r>
              <w:rPr>
                <w:sz w:val="22"/>
              </w:rPr>
              <w:t>0.1739</w:t>
            </w:r>
          </w:p>
        </w:tc>
        <w:tc>
          <w:tcPr>
            <w:tcW w:type="dxa" w:w="1728"/>
            <w:vAlign w:val="center"/>
            <w:tcMar>
              <w:top w:w="120" w:type="dxa"/>
              <w:bottom w:w="120" w:type="dxa"/>
              <w:left w:w="120" w:type="dxa"/>
              <w:right w:w="120" w:type="dxa"/>
            </w:tcMar>
          </w:tcPr>
          <w:p>
            <w:pPr>
              <w:jc w:val="left"/>
              <w:spacing w:line="240" w:lineRule="auto" w:before="55" w:after="55"/>
            </w:pPr>
            <w:r>
              <w:rPr>
                <w:sz w:val="22"/>
              </w:rPr>
              <w:t>0.1182 (−0.0556, 0.00)</w:t>
            </w:r>
          </w:p>
        </w:tc>
        <w:tc>
          <w:tcPr>
            <w:tcW w:type="dxa" w:w="1728"/>
            <w:vAlign w:val="center"/>
            <w:tcMar>
              <w:top w:w="120" w:type="dxa"/>
              <w:bottom w:w="120" w:type="dxa"/>
              <w:left w:w="120" w:type="dxa"/>
              <w:right w:w="120" w:type="dxa"/>
            </w:tcMar>
          </w:tcPr>
          <w:p>
            <w:pPr>
              <w:jc w:val="left"/>
              <w:spacing w:line="240" w:lineRule="auto" w:before="55" w:after="55"/>
            </w:pPr>
            <w:r>
              <w:rPr>
                <w:sz w:val="22"/>
              </w:rPr>
              <w:t>0.1765 (+0.0027, 0.85)</w:t>
            </w:r>
          </w:p>
        </w:tc>
      </w:tr>
      <w:tr>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0.1675</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0.1699</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0.0796 (−0.0903, 0.00)</w:t>
            </w:r>
          </w:p>
        </w:tc>
        <w:tc>
          <w:tcPr>
            <w:tcW w:type="dxa" w:w="1728"/>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0.1718 (+0.0019, 0.90)</w:t>
            </w:r>
          </w:p>
        </w:tc>
      </w:tr>
    </w:tbl>
    <w:p>
      <w:pPr>
        <w:spacing w:after="120"/>
        <w:ind w:firstLine="0"/>
        <w:jc w:val="both"/>
      </w:pPr>
      <w:r>
        <w:t xml:space="preserve">&amp;nbsp;&amp;nbsp;Rerun command: </w:t>
      </w:r>
      <w:r>
        <w:rPr>
          <w:rFonts w:ascii="Courier New" w:hAnsi="Courier New"/>
          <w:sz w:val="22"/>
        </w:rPr>
        <w:t>python results/code/run_m4.py</w:t>
      </w:r>
      <w:r>
        <w:t xml:space="preserve"> → </w:t>
      </w:r>
      <w:r>
        <w:rPr>
          <w:rFonts w:ascii="Courier New" w:hAnsi="Courier New"/>
          <w:sz w:val="22"/>
        </w:rPr>
        <w:t>results/code/m4_results.json</w:t>
      </w:r>
      <w:r>
        <w:t xml:space="preserve"> (protocol </w:t>
      </w:r>
      <w:r>
        <w:rPr>
          <w:rFonts w:ascii="Courier New" w:hAnsi="Courier New"/>
          <w:sz w:val="22"/>
        </w:rPr>
        <w:t>P1_dbe_teacher_labels</w:t>
      </w:r>
      <w:r>
        <w:t xml:space="preserve">). k=200 paired t: m4_full Δ = −0.0903, sd = 0.0175, t = −23.08, win 0.00; m4_E_cf Δ = +0.0019, sd = 0.0015, t = +5.66, win 0.90. Paired effect size d_z = t/√reps (reps = 20): m4_full −5.16 (very large negative effect), m4_E_cf +1.27 (medium-to-large positive effect). Note: RNG is </w:t>
      </w:r>
      <w:r>
        <w:rPr>
          <w:rFonts w:ascii="Courier New" w:hAnsi="Courier New"/>
          <w:sz w:val="22"/>
        </w:rPr>
        <w:t>random.Random(seed)</w:t>
      </w:r>
      <w:r>
        <w:t xml:space="preserve"> (not numpy PCG64), so absolute values are not bit-comparable with M1's </w:t>
      </w:r>
      <w:r>
        <w:rPr>
          <w:rFonts w:ascii="Courier New" w:hAnsi="Courier New"/>
          <w:sz w:val="22"/>
        </w:rPr>
        <w:t>o11</w:t>
      </w:r>
      <w:r>
        <w:t>; within-group paired comparisons are valid.</w:t>
      </w:r>
    </w:p>
    <w:p>
      <w:pPr>
        <w:ind w:firstLine="360"/>
        <w:jc w:val="both"/>
      </w:pPr>
      <w:r>
        <w:rPr>
          <w:b/>
        </w:rPr>
        <w:t>Core negative result</w:t>
      </w:r>
      <w:r>
        <w:t xml:space="preserve">: the structurally "more correct" full M4 estimator (m4_full) </w:t>
      </w:r>
      <w:r>
        <w:rPr>
          <w:b/>
        </w:rPr>
        <w:t>collapses monotonically with k</w:t>
      </w:r>
      <w:r>
        <w:t xml:space="preserve"> on the DBE exogenous criterion; at k=200 τ_b = 0.0796, 0.0903 below baseline (t = −23.08, win-rate 0.00), and </w:t>
      </w:r>
      <w:r>
        <w:rPr>
          <w:b/>
        </w:rPr>
        <w:t>below</w:t>
      </w:r>
      <w:r>
        <w:t xml:space="preserve"> the existing </w:t>
      </w:r>
      <w:r>
        <w:rPr>
          <w:rFonts w:ascii="Courier New" w:hAnsi="Courier New"/>
          <w:sz w:val="22"/>
        </w:rPr>
        <w:t>srw7_cf</w:t>
      </w:r>
      <w:r>
        <w:t xml:space="preserve"> (0.1699). This is the strongest honest conclusion of this paper: M4-A/B/C's improvement in "combination reliability" is actually harmful to exogenous validity.</w:t>
      </w:r>
    </w:p>
    <w:p>
      <w:pPr>
        <w:pStyle w:val="Heading3"/>
      </w:pPr>
      <w:r>
        <w:rPr>
          <w:rFonts w:ascii="Times New Roman" w:hAnsi="Times New Roman"/>
          <w:b/>
          <w:color w:val="000000"/>
          <w:sz w:val="24"/>
        </w:rPr>
        <w:t>5.3 Diagnosis: derived λ rises while out-of-fold optimal λ goes to zero</w:t>
      </w:r>
    </w:p>
    <w:p>
      <w:pPr>
        <w:ind w:firstLine="360"/>
        <w:jc w:val="both"/>
      </w:pPr>
      <w:r>
        <w:t>Table 5-2 gives the divergence on DBE between M4-C's derived λ (from β) and the out-of-fold calibrated (CV) optimal scalar λ — exactly the root of the collapse.</w:t>
      </w:r>
    </w:p>
    <w:tbl>
      <w:tblPr>
        <w:tblW w:type="pct" w:w="5000"/>
        <w:tblLook w:firstColumn="1" w:firstRow="1" w:lastColumn="0" w:lastRow="0" w:noHBand="0" w:noVBand="1" w:val="04A0"/>
        <w:tblLayout w:type="autofit"/>
      </w:tblPr>
      <w:tblGrid>
        <w:gridCol w:w="2880"/>
        <w:gridCol w:w="2880"/>
        <w:gridCol w:w="2880"/>
      </w:tblGrid>
      <w:tr>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M4-C derived λ (from β)</w:t>
            </w:r>
          </w:p>
        </w:tc>
        <w:tc>
          <w:tcPr>
            <w:tcW w:type="dxa" w:w="288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Out-of-fold calibrated optimal λ (CV)</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10</w:t>
            </w:r>
          </w:p>
        </w:tc>
        <w:tc>
          <w:tcPr>
            <w:tcW w:type="dxa" w:w="2880"/>
            <w:vAlign w:val="center"/>
            <w:tcMar>
              <w:top w:w="120" w:type="dxa"/>
              <w:bottom w:w="120" w:type="dxa"/>
              <w:left w:w="120" w:type="dxa"/>
              <w:right w:w="120" w:type="dxa"/>
            </w:tcMar>
          </w:tcPr>
          <w:p>
            <w:pPr>
              <w:jc w:val="left"/>
              <w:spacing w:line="240" w:lineRule="auto" w:before="55" w:after="55"/>
            </w:pPr>
            <w:r>
              <w:rPr>
                <w:sz w:val="22"/>
              </w:rPr>
              <w:t>0.7449</w:t>
            </w:r>
          </w:p>
        </w:tc>
        <w:tc>
          <w:tcPr>
            <w:tcW w:type="dxa" w:w="2880"/>
            <w:vAlign w:val="center"/>
            <w:tcMar>
              <w:top w:w="120" w:type="dxa"/>
              <w:bottom w:w="120" w:type="dxa"/>
              <w:left w:w="120" w:type="dxa"/>
              <w:right w:w="120" w:type="dxa"/>
            </w:tcMar>
          </w:tcPr>
          <w:p>
            <w:pPr>
              <w:jc w:val="left"/>
              <w:spacing w:line="240" w:lineRule="auto" w:before="55" w:after="55"/>
            </w:pPr>
            <w:r>
              <w:rPr>
                <w:sz w:val="22"/>
              </w:rPr>
              <w:t>0.4125</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25</w:t>
            </w:r>
          </w:p>
        </w:tc>
        <w:tc>
          <w:tcPr>
            <w:tcW w:type="dxa" w:w="2880"/>
            <w:vAlign w:val="center"/>
            <w:tcMar>
              <w:top w:w="120" w:type="dxa"/>
              <w:bottom w:w="120" w:type="dxa"/>
              <w:left w:w="120" w:type="dxa"/>
              <w:right w:w="120" w:type="dxa"/>
            </w:tcMar>
          </w:tcPr>
          <w:p>
            <w:pPr>
              <w:jc w:val="left"/>
              <w:spacing w:line="240" w:lineRule="auto" w:before="55" w:after="55"/>
            </w:pPr>
            <w:r>
              <w:rPr>
                <w:sz w:val="22"/>
              </w:rPr>
              <w:t>0.7858</w:t>
            </w:r>
          </w:p>
        </w:tc>
        <w:tc>
          <w:tcPr>
            <w:tcW w:type="dxa" w:w="2880"/>
            <w:vAlign w:val="center"/>
            <w:tcMar>
              <w:top w:w="120" w:type="dxa"/>
              <w:bottom w:w="120" w:type="dxa"/>
              <w:left w:w="120" w:type="dxa"/>
              <w:right w:w="120" w:type="dxa"/>
            </w:tcMar>
          </w:tcPr>
          <w:p>
            <w:pPr>
              <w:jc w:val="left"/>
              <w:spacing w:line="240" w:lineRule="auto" w:before="55" w:after="55"/>
            </w:pPr>
            <w:r>
              <w:rPr>
                <w:sz w:val="22"/>
              </w:rPr>
              <w:t>0.5115</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50</w:t>
            </w:r>
          </w:p>
        </w:tc>
        <w:tc>
          <w:tcPr>
            <w:tcW w:type="dxa" w:w="2880"/>
            <w:vAlign w:val="center"/>
            <w:tcMar>
              <w:top w:w="120" w:type="dxa"/>
              <w:bottom w:w="120" w:type="dxa"/>
              <w:left w:w="120" w:type="dxa"/>
              <w:right w:w="120" w:type="dxa"/>
            </w:tcMar>
          </w:tcPr>
          <w:p>
            <w:pPr>
              <w:jc w:val="left"/>
              <w:spacing w:line="240" w:lineRule="auto" w:before="55" w:after="55"/>
            </w:pPr>
            <w:r>
              <w:rPr>
                <w:sz w:val="22"/>
              </w:rPr>
              <w:t>0.8182</w:t>
            </w:r>
          </w:p>
        </w:tc>
        <w:tc>
          <w:tcPr>
            <w:tcW w:type="dxa" w:w="2880"/>
            <w:vAlign w:val="center"/>
            <w:tcMar>
              <w:top w:w="120" w:type="dxa"/>
              <w:bottom w:w="120" w:type="dxa"/>
              <w:left w:w="120" w:type="dxa"/>
              <w:right w:w="120" w:type="dxa"/>
            </w:tcMar>
          </w:tcPr>
          <w:p>
            <w:pPr>
              <w:jc w:val="left"/>
              <w:spacing w:line="240" w:lineRule="auto" w:before="55" w:after="55"/>
            </w:pPr>
            <w:r>
              <w:rPr>
                <w:sz w:val="22"/>
              </w:rPr>
              <w:t>0.3350</w:t>
            </w:r>
          </w:p>
        </w:tc>
      </w:tr>
      <w:tr>
        <w:tc>
          <w:tcPr>
            <w:tcW w:type="dxa" w:w="2880"/>
            <w:vAlign w:val="center"/>
            <w:tcMar>
              <w:top w:w="120" w:type="dxa"/>
              <w:bottom w:w="120" w:type="dxa"/>
              <w:left w:w="120" w:type="dxa"/>
              <w:right w:w="120" w:type="dxa"/>
            </w:tcMar>
          </w:tcPr>
          <w:p>
            <w:pPr>
              <w:jc w:val="left"/>
              <w:spacing w:line="240" w:lineRule="auto" w:before="55" w:after="55"/>
            </w:pPr>
            <w:r>
              <w:rPr>
                <w:sz w:val="22"/>
              </w:rPr>
              <w:t>100</w:t>
            </w:r>
          </w:p>
        </w:tc>
        <w:tc>
          <w:tcPr>
            <w:tcW w:type="dxa" w:w="2880"/>
            <w:vAlign w:val="center"/>
            <w:tcMar>
              <w:top w:w="120" w:type="dxa"/>
              <w:bottom w:w="120" w:type="dxa"/>
              <w:left w:w="120" w:type="dxa"/>
              <w:right w:w="120" w:type="dxa"/>
            </w:tcMar>
          </w:tcPr>
          <w:p>
            <w:pPr>
              <w:jc w:val="left"/>
              <w:spacing w:line="240" w:lineRule="auto" w:before="55" w:after="55"/>
            </w:pPr>
            <w:r>
              <w:rPr>
                <w:sz w:val="22"/>
              </w:rPr>
              <w:t>0.8492</w:t>
            </w:r>
          </w:p>
        </w:tc>
        <w:tc>
          <w:tcPr>
            <w:tcW w:type="dxa" w:w="2880"/>
            <w:vAlign w:val="center"/>
            <w:tcMar>
              <w:top w:w="120" w:type="dxa"/>
              <w:bottom w:w="120" w:type="dxa"/>
              <w:left w:w="120" w:type="dxa"/>
              <w:right w:w="120" w:type="dxa"/>
            </w:tcMar>
          </w:tcPr>
          <w:p>
            <w:pPr>
              <w:jc w:val="left"/>
              <w:spacing w:line="240" w:lineRule="auto" w:before="55" w:after="55"/>
            </w:pPr>
            <w:r>
              <w:rPr>
                <w:sz w:val="22"/>
              </w:rPr>
              <w:t>0.1490</w:t>
            </w:r>
          </w:p>
        </w:tc>
      </w:tr>
      <w:tr>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0.8734</w:t>
            </w:r>
          </w:p>
        </w:tc>
        <w:tc>
          <w:tcPr>
            <w:tcW w:type="dxa" w:w="288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0.0150</w:t>
            </w:r>
          </w:p>
        </w:tc>
      </w:tr>
    </w:tbl>
    <w:p>
      <w:pPr>
        <w:spacing w:after="120"/>
        <w:ind w:firstLine="0"/>
        <w:jc w:val="both"/>
      </w:pPr>
      <w:r>
        <w:t xml:space="preserve">&amp;nbsp;&amp;nbsp;Rerun command: same as above, reading </w:t>
      </w:r>
      <w:r>
        <w:rPr>
          <w:rFonts w:ascii="Courier New" w:hAnsi="Courier New"/>
          <w:sz w:val="22"/>
        </w:rPr>
        <w:t>_lambda_derived_mean</w:t>
      </w:r>
      <w:r>
        <w:t xml:space="preserve"> and </w:t>
      </w:r>
      <w:r>
        <w:rPr>
          <w:rFonts w:ascii="Courier New" w:hAnsi="Courier New"/>
          <w:sz w:val="22"/>
        </w:rPr>
        <w:t>_cv_lambda_m4_mean</w:t>
      </w:r>
      <w:r>
        <w:t xml:space="preserve"> for each k under protocol </w:t>
      </w:r>
      <w:r>
        <w:rPr>
          <w:rFonts w:ascii="Courier New" w:hAnsi="Courier New"/>
          <w:sz w:val="22"/>
        </w:rPr>
        <w:t>P1_dbe_teacher_labels</w:t>
      </w:r>
      <w:r>
        <w:t xml:space="preserve"> of </w:t>
      </w:r>
      <w:r>
        <w:rPr>
          <w:rFonts w:ascii="Courier New" w:hAnsi="Courier New"/>
          <w:sz w:val="22"/>
        </w:rPr>
        <w:t>m4_results.json</w:t>
      </w:r>
      <w:r>
        <w:t>.</w:t>
      </w:r>
    </w:p>
    <w:p>
      <w:pPr>
        <w:ind w:firstLine="360"/>
        <w:jc w:val="both"/>
      </w:pPr>
      <w:r>
        <w:t xml:space="preserve">M4's derived λ </w:t>
      </w:r>
      <w:r>
        <w:rPr>
          <w:b/>
        </w:rPr>
        <w:t>rises monotonically with k</w:t>
      </w:r>
      <w:r>
        <w:t xml:space="preserve"> (more and more budget for auxiliary signals), but the optimal λ from out-of-fold calibration on the exogenous teacher labels </w:t>
      </w:r>
      <w:r>
        <w:rPr>
          <w:b/>
        </w:rPr>
        <w:t>monotonically approaches zero</w:t>
      </w:r>
      <w:r>
        <w:t xml:space="preserve"> (only 0.015 at k=200) — i.e., the teacher labels say "do not use the auxiliary signals." This divergence directly confirms the §3.2 boundary: the auxiliary signals are highly collinear with the success rate, and M4's β mistakes "redundancy" for "increment" and weights it more, so the exogenous criterion is harmed. The collapse is not numerical noise but a structural manifestation of reliability ≠ validity.</w:t>
      </w:r>
    </w:p>
    <w:p>
      <w:pPr>
        <w:pStyle w:val="Heading3"/>
      </w:pPr>
      <w:r>
        <w:rPr>
          <w:rFonts w:ascii="Times New Roman" w:hAnsi="Times New Roman"/>
          <w:b/>
          <w:color w:val="000000"/>
          <w:sz w:val="24"/>
        </w:rPr>
        <w:t>5.4 M4-E repairs the collapse</w:t>
      </w:r>
    </w:p>
    <w:p>
      <w:pPr>
        <w:ind w:firstLine="360"/>
        <w:jc w:val="both"/>
      </w:pPr>
      <w:r>
        <w:t>As the last column of Table 5-1, M4-E (</w:t>
      </w:r>
      <w:r>
        <w:rPr>
          <w:rFonts w:ascii="Courier New" w:hAnsi="Courier New"/>
          <w:sz w:val="22"/>
        </w:rPr>
        <w:t>m4_E_cf</w:t>
      </w:r>
      <w:r>
        <w:t xml:space="preserve">, residualization + λ_cf mixing) </w:t>
      </w:r>
      <w:r>
        <w:rPr>
          <w:b/>
        </w:rPr>
        <w:t>repairs</w:t>
      </w:r>
      <w:r>
        <w:t xml:space="preserve"> the collapse: k=200 τ_b = 0.1718, 0.0019 above baseline (t = +5.66, win-rate 0.90); and at k = 50/100/200 it is better than or ties </w:t>
      </w:r>
      <w:r>
        <w:rPr>
          <w:rFonts w:ascii="Courier New" w:hAnsi="Courier New"/>
          <w:sz w:val="22"/>
        </w:rPr>
        <w:t>srw7_cf</w:t>
      </w:r>
      <w:r>
        <w:t xml:space="preserve"> and m4_full. Residualization constrains the combination to "the increment beyond the success rate," making λ clean again — consistent with the criterion signal in Table 5-2 that "the out-of-fold optimal λ should approach zero": when incremental information is minimal, M4-E automatically reverts to the reference column through λ.</w:t>
      </w:r>
    </w:p>
    <w:p>
      <w:pPr>
        <w:pStyle w:val="Heading3"/>
      </w:pPr>
      <w:r>
        <w:rPr>
          <w:rFonts w:ascii="Times New Roman" w:hAnsi="Times New Roman"/>
          <w:b/>
          <w:color w:val="000000"/>
          <w:sz w:val="24"/>
        </w:rPr>
        <w:t>5.5 Junyi platform labels: M4 wins everywhere (criterion-dependence)</w:t>
      </w:r>
    </w:p>
    <w:p>
      <w:pPr>
        <w:ind w:firstLine="360"/>
        <w:jc w:val="both"/>
      </w:pPr>
      <w:r>
        <w:t xml:space="preserve">Table 5-3 gives P1b (n_items = 1,234, reps = 8, Kendall τ_b; rerun source </w:t>
      </w:r>
      <w:r>
        <w:rPr>
          <w:rFonts w:ascii="Courier New" w:hAnsi="Courier New"/>
          <w:sz w:val="22"/>
        </w:rPr>
        <w:t>m4_results.json</w:t>
      </w:r>
      <w:r>
        <w:t xml:space="preserve"> protocol </w:t>
      </w:r>
      <w:r>
        <w:rPr>
          <w:rFonts w:ascii="Courier New" w:hAnsi="Courier New"/>
          <w:sz w:val="22"/>
        </w:rPr>
        <w:t>P1_junyi_platform_labels</w:t>
      </w:r>
      <w:r>
        <w:t>).</w:t>
      </w:r>
    </w:p>
    <w:tbl>
      <w:tblPr>
        <w:tblW w:type="pct" w:w="5000"/>
        <w:tblLook w:firstColumn="1" w:firstRow="1" w:lastColumn="0" w:lastRow="0" w:noHBand="0" w:noVBand="1" w:val="04A0"/>
        <w:tblLayout w:type="autofit"/>
      </w:tblPr>
      <w:tblGrid>
        <w:gridCol w:w="2160"/>
        <w:gridCol w:w="2160"/>
        <w:gridCol w:w="2160"/>
        <w:gridCol w:w="2160"/>
      </w:tblGrid>
      <w:tr>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k</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Success-rate-only</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m4_full (M4-A/B/C)</w:t>
            </w:r>
          </w:p>
        </w:tc>
        <w:tc>
          <w:tcPr>
            <w:tcW w:type="dxa" w:w="2160"/>
            <w:shd w:val="clear" w:color="auto" w:fill="F0F0F0"/>
            <w:vAlign w:val="center"/>
            <w:tcBorders>
              <w:top w:val="single" w:sz="12" w:space="0" w:color="000000"/>
              <w:bottom w:val="single" w:sz="6" w:space="0" w:color="000000"/>
            </w:tcBorders>
            <w:tcMar>
              <w:top w:w="120" w:type="dxa"/>
              <w:bottom w:w="120" w:type="dxa"/>
              <w:left w:w="120" w:type="dxa"/>
              <w:right w:w="120" w:type="dxa"/>
            </w:tcMar>
          </w:tcPr>
          <w:p>
            <w:pPr>
              <w:jc w:val="left"/>
              <w:spacing w:line="240" w:lineRule="auto" w:before="55" w:after="55"/>
            </w:pPr>
            <w:r>
              <w:rPr>
                <w:b/>
                <w:sz w:val="22"/>
              </w:rPr>
              <w:t>m4_E_cf (M4-E)</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w:t>
            </w:r>
          </w:p>
        </w:tc>
        <w:tc>
          <w:tcPr>
            <w:tcW w:type="dxa" w:w="2160"/>
            <w:vAlign w:val="center"/>
            <w:tcMar>
              <w:top w:w="120" w:type="dxa"/>
              <w:bottom w:w="120" w:type="dxa"/>
              <w:left w:w="120" w:type="dxa"/>
              <w:right w:w="120" w:type="dxa"/>
            </w:tcMar>
          </w:tcPr>
          <w:p>
            <w:pPr>
              <w:jc w:val="left"/>
              <w:spacing w:line="240" w:lineRule="auto" w:before="55" w:after="55"/>
            </w:pPr>
            <w:r>
              <w:rPr>
                <w:sz w:val="22"/>
              </w:rPr>
              <w:t>0.1467</w:t>
            </w:r>
          </w:p>
        </w:tc>
        <w:tc>
          <w:tcPr>
            <w:tcW w:type="dxa" w:w="2160"/>
            <w:vAlign w:val="center"/>
            <w:tcMar>
              <w:top w:w="120" w:type="dxa"/>
              <w:bottom w:w="120" w:type="dxa"/>
              <w:left w:w="120" w:type="dxa"/>
              <w:right w:w="120" w:type="dxa"/>
            </w:tcMar>
          </w:tcPr>
          <w:p>
            <w:pPr>
              <w:jc w:val="left"/>
              <w:spacing w:line="240" w:lineRule="auto" w:before="55" w:after="55"/>
            </w:pPr>
            <w:r>
              <w:rPr>
                <w:sz w:val="22"/>
              </w:rPr>
              <w:t>0.1882 (+0.0247, 0.875)</w:t>
            </w:r>
          </w:p>
        </w:tc>
        <w:tc>
          <w:tcPr>
            <w:tcW w:type="dxa" w:w="2160"/>
            <w:vAlign w:val="center"/>
            <w:tcMar>
              <w:top w:w="120" w:type="dxa"/>
              <w:bottom w:w="120" w:type="dxa"/>
              <w:left w:w="120" w:type="dxa"/>
              <w:right w:w="120" w:type="dxa"/>
            </w:tcMar>
          </w:tcPr>
          <w:p>
            <w:pPr>
              <w:jc w:val="left"/>
              <w:spacing w:line="240" w:lineRule="auto" w:before="55" w:after="55"/>
            </w:pPr>
            <w:r>
              <w:rPr>
                <w:sz w:val="22"/>
              </w:rPr>
              <w:t>0.1588 (−0.0048, 0.375)</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25</w:t>
            </w:r>
          </w:p>
        </w:tc>
        <w:tc>
          <w:tcPr>
            <w:tcW w:type="dxa" w:w="2160"/>
            <w:vAlign w:val="center"/>
            <w:tcMar>
              <w:top w:w="120" w:type="dxa"/>
              <w:bottom w:w="120" w:type="dxa"/>
              <w:left w:w="120" w:type="dxa"/>
              <w:right w:w="120" w:type="dxa"/>
            </w:tcMar>
          </w:tcPr>
          <w:p>
            <w:pPr>
              <w:jc w:val="left"/>
              <w:spacing w:line="240" w:lineRule="auto" w:before="55" w:after="55"/>
            </w:pPr>
            <w:r>
              <w:rPr>
                <w:sz w:val="22"/>
              </w:rPr>
              <w:t>0.1717</w:t>
            </w:r>
          </w:p>
        </w:tc>
        <w:tc>
          <w:tcPr>
            <w:tcW w:type="dxa" w:w="2160"/>
            <w:vAlign w:val="center"/>
            <w:tcMar>
              <w:top w:w="120" w:type="dxa"/>
              <w:bottom w:w="120" w:type="dxa"/>
              <w:left w:w="120" w:type="dxa"/>
              <w:right w:w="120" w:type="dxa"/>
            </w:tcMar>
          </w:tcPr>
          <w:p>
            <w:pPr>
              <w:jc w:val="left"/>
              <w:spacing w:line="240" w:lineRule="auto" w:before="55" w:after="55"/>
            </w:pPr>
            <w:r>
              <w:rPr>
                <w:sz w:val="22"/>
              </w:rPr>
              <w:t>0.2175 (+0.0313, 1.00)</w:t>
            </w:r>
          </w:p>
        </w:tc>
        <w:tc>
          <w:tcPr>
            <w:tcW w:type="dxa" w:w="2160"/>
            <w:vAlign w:val="center"/>
            <w:tcMar>
              <w:top w:w="120" w:type="dxa"/>
              <w:bottom w:w="120" w:type="dxa"/>
              <w:left w:w="120" w:type="dxa"/>
              <w:right w:w="120" w:type="dxa"/>
            </w:tcMar>
          </w:tcPr>
          <w:p>
            <w:pPr>
              <w:jc w:val="left"/>
              <w:spacing w:line="240" w:lineRule="auto" w:before="55" w:after="55"/>
            </w:pPr>
            <w:r>
              <w:rPr>
                <w:sz w:val="22"/>
              </w:rPr>
              <w:t>0.1953 (+0.0091, 0.875)</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50</w:t>
            </w:r>
          </w:p>
        </w:tc>
        <w:tc>
          <w:tcPr>
            <w:tcW w:type="dxa" w:w="2160"/>
            <w:vAlign w:val="center"/>
            <w:tcMar>
              <w:top w:w="120" w:type="dxa"/>
              <w:bottom w:w="120" w:type="dxa"/>
              <w:left w:w="120" w:type="dxa"/>
              <w:right w:w="120" w:type="dxa"/>
            </w:tcMar>
          </w:tcPr>
          <w:p>
            <w:pPr>
              <w:jc w:val="left"/>
              <w:spacing w:line="240" w:lineRule="auto" w:before="55" w:after="55"/>
            </w:pPr>
            <w:r>
              <w:rPr>
                <w:sz w:val="22"/>
              </w:rPr>
              <w:t>0.1825</w:t>
            </w:r>
          </w:p>
        </w:tc>
        <w:tc>
          <w:tcPr>
            <w:tcW w:type="dxa" w:w="2160"/>
            <w:vAlign w:val="center"/>
            <w:tcMar>
              <w:top w:w="120" w:type="dxa"/>
              <w:bottom w:w="120" w:type="dxa"/>
              <w:left w:w="120" w:type="dxa"/>
              <w:right w:w="120" w:type="dxa"/>
            </w:tcMar>
          </w:tcPr>
          <w:p>
            <w:pPr>
              <w:jc w:val="left"/>
              <w:spacing w:line="240" w:lineRule="auto" w:before="55" w:after="55"/>
            </w:pPr>
            <w:r>
              <w:rPr>
                <w:sz w:val="22"/>
              </w:rPr>
              <w:t>0.2431 (+0.0483, 1.00)</w:t>
            </w:r>
          </w:p>
        </w:tc>
        <w:tc>
          <w:tcPr>
            <w:tcW w:type="dxa" w:w="2160"/>
            <w:vAlign w:val="center"/>
            <w:tcMar>
              <w:top w:w="120" w:type="dxa"/>
              <w:bottom w:w="120" w:type="dxa"/>
              <w:left w:w="120" w:type="dxa"/>
              <w:right w:w="120" w:type="dxa"/>
            </w:tcMar>
          </w:tcPr>
          <w:p>
            <w:pPr>
              <w:jc w:val="left"/>
              <w:spacing w:line="240" w:lineRule="auto" w:before="55" w:after="55"/>
            </w:pPr>
            <w:r>
              <w:rPr>
                <w:sz w:val="22"/>
              </w:rPr>
              <w:t>0.2109 (+0.0162, 1.00)</w:t>
            </w:r>
          </w:p>
        </w:tc>
      </w:tr>
      <w:tr>
        <w:tc>
          <w:tcPr>
            <w:tcW w:type="dxa" w:w="2160"/>
            <w:vAlign w:val="center"/>
            <w:tcMar>
              <w:top w:w="120" w:type="dxa"/>
              <w:bottom w:w="120" w:type="dxa"/>
              <w:left w:w="120" w:type="dxa"/>
              <w:right w:w="120" w:type="dxa"/>
            </w:tcMar>
          </w:tcPr>
          <w:p>
            <w:pPr>
              <w:jc w:val="left"/>
              <w:spacing w:line="240" w:lineRule="auto" w:before="55" w:after="55"/>
            </w:pPr>
            <w:r>
              <w:rPr>
                <w:sz w:val="22"/>
              </w:rPr>
              <w:t>100</w:t>
            </w:r>
          </w:p>
        </w:tc>
        <w:tc>
          <w:tcPr>
            <w:tcW w:type="dxa" w:w="2160"/>
            <w:vAlign w:val="center"/>
            <w:tcMar>
              <w:top w:w="120" w:type="dxa"/>
              <w:bottom w:w="120" w:type="dxa"/>
              <w:left w:w="120" w:type="dxa"/>
              <w:right w:w="120" w:type="dxa"/>
            </w:tcMar>
          </w:tcPr>
          <w:p>
            <w:pPr>
              <w:jc w:val="left"/>
              <w:spacing w:line="240" w:lineRule="auto" w:before="55" w:after="55"/>
            </w:pPr>
            <w:r>
              <w:rPr>
                <w:sz w:val="22"/>
              </w:rPr>
              <w:t>0.1975</w:t>
            </w:r>
          </w:p>
        </w:tc>
        <w:tc>
          <w:tcPr>
            <w:tcW w:type="dxa" w:w="2160"/>
            <w:vAlign w:val="center"/>
            <w:tcMar>
              <w:top w:w="120" w:type="dxa"/>
              <w:bottom w:w="120" w:type="dxa"/>
              <w:left w:w="120" w:type="dxa"/>
              <w:right w:w="120" w:type="dxa"/>
            </w:tcMar>
          </w:tcPr>
          <w:p>
            <w:pPr>
              <w:jc w:val="left"/>
              <w:spacing w:line="240" w:lineRule="auto" w:before="55" w:after="55"/>
            </w:pPr>
            <w:r>
              <w:rPr>
                <w:sz w:val="22"/>
              </w:rPr>
              <w:t>0.2562 (+0.0530, 1.00)</w:t>
            </w:r>
          </w:p>
        </w:tc>
        <w:tc>
          <w:tcPr>
            <w:tcW w:type="dxa" w:w="2160"/>
            <w:vAlign w:val="center"/>
            <w:tcMar>
              <w:top w:w="120" w:type="dxa"/>
              <w:bottom w:w="120" w:type="dxa"/>
              <w:left w:w="120" w:type="dxa"/>
              <w:right w:w="120" w:type="dxa"/>
            </w:tcMar>
          </w:tcPr>
          <w:p>
            <w:pPr>
              <w:jc w:val="left"/>
              <w:spacing w:line="240" w:lineRule="auto" w:before="55" w:after="55"/>
            </w:pPr>
            <w:r>
              <w:rPr>
                <w:sz w:val="22"/>
              </w:rPr>
              <w:t>0.2132 (+0.0100, 1.00)</w:t>
            </w:r>
          </w:p>
        </w:tc>
      </w:tr>
      <w:tr>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200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0.1966</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0.2709 (+0.0708, 1.00)</w:t>
            </w:r>
          </w:p>
        </w:tc>
        <w:tc>
          <w:tcPr>
            <w:tcW w:type="dxa" w:w="2160"/>
            <w:vAlign w:val="center"/>
            <w:tcBorders>
              <w:bottom w:val="single" w:sz="12" w:space="0" w:color="000000"/>
            </w:tcBorders>
            <w:tcMar>
              <w:top w:w="120" w:type="dxa"/>
              <w:bottom w:w="120" w:type="dxa"/>
              <w:left w:w="120" w:type="dxa"/>
              <w:right w:w="120" w:type="dxa"/>
            </w:tcMar>
          </w:tcPr>
          <w:p>
            <w:pPr>
              <w:jc w:val="left"/>
              <w:spacing w:line="240" w:lineRule="auto" w:before="55" w:after="55"/>
            </w:pPr>
            <w:r>
              <w:rPr>
                <w:sz w:val="22"/>
              </w:rPr>
              <w:t>0.2075 (+0.0073, 1.00)</w:t>
            </w:r>
          </w:p>
        </w:tc>
      </w:tr>
    </w:tbl>
    <w:p>
      <w:pPr>
        <w:spacing w:after="120"/>
        <w:ind w:firstLine="0"/>
        <w:jc w:val="both"/>
      </w:pPr>
      <w:r>
        <w:t xml:space="preserve">&amp;nbsp;&amp;nbsp;Rerun command: same as above, protocol </w:t>
      </w:r>
      <w:r>
        <w:rPr>
          <w:rFonts w:ascii="Courier New" w:hAnsi="Courier New"/>
          <w:sz w:val="22"/>
        </w:rPr>
        <w:t>P1_junyi_platform_labels</w:t>
      </w:r>
      <w:r>
        <w:t>.</w:t>
      </w:r>
    </w:p>
    <w:p>
      <w:pPr>
        <w:ind w:firstLine="360"/>
        <w:jc w:val="both"/>
      </w:pPr>
      <w:r>
        <w:rPr>
          <w:b/>
        </w:rPr>
        <w:t>Criterion-dependence conclusion</w:t>
      </w:r>
      <w:r>
        <w:t xml:space="preserve">: on the Junyi platform labels (co-sourced with the logs, secondary status), the original full M4 estimator </w:t>
      </w:r>
      <w:r>
        <w:rPr>
          <w:b/>
        </w:rPr>
        <w:t>wins everywhere</w:t>
      </w:r>
      <w:r>
        <w:t xml:space="preserve"> (k ≥ 25 win-rate 1.00, k=200 Δ = +0.0708), and M4-E remains positive (k=200 Δ = +0.0073, win-rate 1.00). This is </w:t>
      </w:r>
      <w:r>
        <w:rPr>
          <w:b/>
        </w:rPr>
        <w:t>completely opposite</w:t>
      </w:r>
      <w:r>
        <w:t xml:space="preserve"> to the collapse of §5.2 — the same algorithm, a different criterion, and the conclusion flips. </w:t>
      </w:r>
      <w:r>
        <w:rPr>
          <w:b/>
        </w:rPr>
        <w:t>On this basis we assert: any statement that "M4 is better than srw7" must annotate the criterion and sample size it depends on; talking about "gain" divorced from the criterion is invalid.</w:t>
      </w:r>
    </w:p>
    <w:p>
      <w:pPr>
        <w:pStyle w:val="Heading3"/>
      </w:pPr>
      <w:r>
        <w:rPr>
          <w:rFonts w:ascii="Times New Roman" w:hAnsi="Times New Roman"/>
          <w:b/>
          <w:color w:val="000000"/>
          <w:sz w:val="24"/>
        </w:rPr>
        <w:t>5.6 P2 holdoutcontrol (non-exogenous, only acontrol)</w:t>
      </w:r>
    </w:p>
    <w:p>
      <w:pPr>
        <w:ind w:firstLine="360"/>
        <w:jc w:val="both"/>
      </w:pPr>
      <w:r>
        <w:t xml:space="preserve">P2 (Junyi holdout error rate, non-exogenous) is used only as a consistencycontrol, not to claim a gain. Rerun source </w:t>
      </w:r>
      <w:r>
        <w:rPr>
          <w:rFonts w:ascii="Courier New" w:hAnsi="Courier New"/>
          <w:sz w:val="22"/>
        </w:rPr>
        <w:t>m4_results.json</w:t>
      </w:r>
      <w:r>
        <w:t xml:space="preserve"> protocol </w:t>
      </w:r>
      <w:r>
        <w:rPr>
          <w:rFonts w:ascii="Courier New" w:hAnsi="Courier New"/>
          <w:sz w:val="22"/>
        </w:rPr>
        <w:t>P2_junyi_holdout_errorrate</w:t>
      </w:r>
      <w:r>
        <w:t xml:space="preserve"> (k=200, accuracysense): success-rate-only 0.9495, m4_full 0.7289, m4_E_cf 0.9498. m4_full is likewise far below baseline on holdout accuracy (0.7289), </w:t>
      </w:r>
      <w:r>
        <w:rPr>
          <w:b/>
        </w:rPr>
        <w:t>corroborating</w:t>
      </w:r>
      <w:r>
        <w:t xml:space="preserve"> rather than independently verifying the §5.2 collapse; m4_E_cf returns to baseline level (0.9498). Because this protocol's criterion is non-exogenous, we do not claim an M4-E gain from it, using it only as supporting evidence that "M4-full's failure also exists on the predictionsense."</w:t>
      </w:r>
    </w:p>
    <w:p>
      <w:bookmarkStart w:id="5" w:name="section-6"/>
      <w:pPr>
        <w:pStyle w:val="Heading2"/>
      </w:pPr>
      <w:bookmarkEnd w:id="5"/>
      <w:r>
        <w:rPr>
          <w:rFonts w:ascii="Times New Roman" w:hAnsi="Times New Roman"/>
          <w:b/>
          <w:color w:val="000000"/>
          <w:sz w:val="28"/>
        </w:rPr>
        <w:t>6 Discussion</w:t>
      </w:r>
    </w:p>
    <w:p>
      <w:pPr>
        <w:pStyle w:val="Heading3"/>
      </w:pPr>
      <w:r>
        <w:rPr>
          <w:rFonts w:ascii="Times New Roman" w:hAnsi="Times New Roman"/>
          <w:b/>
          <w:color w:val="000000"/>
          <w:sz w:val="24"/>
        </w:rPr>
        <w:t>6.1 Methodological implications of criterion-dependence</w:t>
      </w:r>
    </w:p>
    <w:p>
      <w:pPr>
        <w:ind w:firstLine="360"/>
        <w:jc w:val="both"/>
      </w:pPr>
      <w:r>
        <w:t xml:space="preserve">This paper collapses on DBE (exogenous) and wins everywhere on Junyi (co-sourced) — this contrast itself is a methodological reminder, isomorphic to M3's negative result on the holdout criterion that "consistency gain ≠ predictive-power gain": a combination's "good" must be defined by its </w:t>
      </w:r>
      <w:r>
        <w:rPr>
          <w:b/>
        </w:rPr>
        <w:t>external validity</w:t>
      </w:r>
      <w:r>
        <w:t xml:space="preserve">, not its consistency with some label.The specific percentages in the recommendation report (R2's 31.73%, R10's 12.5%/50%/7.6%), if moved into a decision table, would treat a value under one specific dataset/protocol as a universal constant, whereas §3.2 of this paper and M4-C's derived-λ experiment jointly show: </w:t>
      </w:r>
      <w:r>
        <w:rPr>
          <w:b/>
        </w:rPr>
        <w:t>the auxiliary-signal budget, like the optimal error rate, is a function of the task error structure, not a universal constant</w:t>
      </w:r>
      <w:r>
        <w:t>.</w:t>
      </w:r>
    </w:p>
    <w:p>
      <w:pPr>
        <w:ind w:firstLine="360"/>
        <w:jc w:val="both"/>
      </w:pPr>
      <w:r>
        <w:t xml:space="preserve">This conclusion is isomorphic to Guadagnoli and Lee's (2004, </w:t>
      </w:r>
      <w:r>
        <w:rPr>
          <w:rFonts w:ascii="Courier New" w:hAnsi="Courier New"/>
          <w:sz w:val="22"/>
        </w:rPr>
        <w:t>guadagnoli2004challengepoint</w:t>
      </w:r>
      <w:r>
        <w:t xml:space="preserve">) challenge-point framework: the optimal practice difficulty is jointly determined by task difficulty and learner proficiency, not a fixed constant; Wilson et al.'s (2019, </w:t>
      </w:r>
      <w:r>
        <w:rPr>
          <w:rFonts w:ascii="Courier New" w:hAnsi="Courier New"/>
          <w:sz w:val="22"/>
        </w:rPr>
        <w:t>wilson2019eightyfive</w:t>
      </w:r>
      <w:r>
        <w:t>) 85% rule is the concrete anchor of §3.2's "optimal error rate is not universal" conclusion in the training-error-rate dimension.</w:t>
      </w:r>
    </w:p>
    <w:p>
      <w:pPr>
        <w:pStyle w:val="Heading3"/>
      </w:pPr>
      <w:r>
        <w:rPr>
          <w:rFonts w:ascii="Times New Roman" w:hAnsi="Times New Roman"/>
          <w:b/>
          <w:color w:val="000000"/>
          <w:sz w:val="24"/>
        </w:rPr>
        <w:t>6.2 Costs and benefits of residualization</w:t>
      </w:r>
    </w:p>
    <w:p>
      <w:pPr>
        <w:ind w:firstLine="360"/>
        <w:jc w:val="both"/>
      </w:pPr>
      <w:r>
        <w:t xml:space="preserve">M4-E's benefit is clear on the exogenous criterion (repairs the collapse), but the cost is: when an auxiliary signal </w:t>
      </w:r>
      <w:r>
        <w:rPr>
          <w:b/>
        </w:rPr>
        <w:t>does</w:t>
      </w:r>
      <w:r>
        <w:t xml:space="preserve"> carry real increment (e.g., m4_full wins everywhere on Junyi), residualization mistakenly deletes some effective increment, making m4_E_cf's Δ on Junyi smaller than m4_full's (k=200: +0.0073 vs. +0.0708). This reflects an unsolved practical problem: </w:t>
      </w:r>
      <w:r>
        <w:rPr>
          <w:b/>
        </w:rPr>
        <w:t>what λ should be, depends on whether the auxiliary signals on that dataset truly carry exogenous increment</w:t>
      </w:r>
      <w:r>
        <w:t xml:space="preserve"> — M4-E hands this question back to "out-of-fold calibrated λ" (the CVsense of Table 5-2) rather than using a universal constant.</w:t>
      </w:r>
    </w:p>
    <w:p>
      <w:pPr>
        <w:pStyle w:val="Heading3"/>
      </w:pPr>
      <w:r>
        <w:rPr>
          <w:rFonts w:ascii="Times New Roman" w:hAnsi="Times New Roman"/>
          <w:b/>
          <w:color w:val="000000"/>
          <w:sz w:val="24"/>
        </w:rPr>
        <w:t>6.3 Boundaries with R11's tree ensemble and R10's ratios</w:t>
      </w:r>
    </w:p>
    <w:p>
      <w:pPr>
        <w:ind w:firstLine="360"/>
        <w:jc w:val="both"/>
      </w:pPr>
      <w:r>
        <w:t xml:space="preserve">Razavi and Powers's (2026, </w:t>
      </w:r>
      <w:r>
        <w:rPr>
          <w:rFonts w:ascii="Courier New" w:hAnsi="Courier New"/>
          <w:sz w:val="22"/>
        </w:rPr>
        <w:t>razavi2026itemdifficulty</w:t>
      </w:r>
      <w:r>
        <w:t xml:space="preserve">) feature + tree-ensemble route (r = 0.87) is the </w:t>
      </w:r>
      <w:r>
        <w:rPr>
          <w:b/>
        </w:rPr>
        <w:t>direct competitor</w:t>
      </w:r>
      <w:r>
        <w:t xml:space="preserve"> of this paper.We state explicitly: we do not adopt their tree-ensemble method (this paper insists on interpretable linear β = V⁻¹q and residualization, convenient for exogenous re-verification), and we do not use their 0.87 as a superior benchmark for our system (data/features/protocol all differ; porting that conclusion would be out of bounds).R10's ratios such as 12.5%/50%/7.6% are values from specific experiments; we do not introduce them into decision tables, for the same reason as §6.1.</w:t>
      </w:r>
    </w:p>
    <w:p>
      <w:pPr>
        <w:ind w:firstLine="360"/>
        <w:jc w:val="both"/>
      </w:pPr>
      <w:r>
        <w:t xml:space="preserve">R4 (Yeung et al., 2019, </w:t>
      </w:r>
      <w:r>
        <w:rPr>
          <w:rFonts w:ascii="Courier New" w:hAnsi="Courier New"/>
          <w:sz w:val="22"/>
        </w:rPr>
        <w:t>yeung2019deepirt</w:t>
      </w:r>
      <w:r>
        <w:t xml:space="preserve">, 1PL) is </w:t>
      </w:r>
      <w:r>
        <w:rPr>
          <w:b/>
        </w:rPr>
        <w:t>not used as a main criterion</w:t>
      </w:r>
      <w:r>
        <w:t>: M1 already confirmed that 1PL network-output difficulty and success rate have ρ ≈ 0.96, nearly perfectlyco-sourced with the success rate, so it cannot serve as an exogenous benchmark; thus our criteria take only DBE teacher labels (exogenous) and Junyi platform labels (co-sourced secondary).</w:t>
      </w:r>
    </w:p>
    <w:p>
      <w:bookmarkStart w:id="6" w:name="section-7"/>
      <w:pPr>
        <w:pStyle w:val="Heading2"/>
      </w:pPr>
      <w:bookmarkEnd w:id="6"/>
      <w:r>
        <w:rPr>
          <w:rFonts w:ascii="Times New Roman" w:hAnsi="Times New Roman"/>
          <w:b/>
          <w:color w:val="000000"/>
          <w:sz w:val="28"/>
        </w:rPr>
        <w:t>7 Threats to Validity and Honest Gaps</w:t>
      </w:r>
    </w:p>
    <w:p>
      <w:pPr>
        <w:ind w:firstLine="360"/>
        <w:jc w:val="both"/>
      </w:pPr>
      <w:r>
        <w:rPr>
          <w:b/>
        </w:rPr>
        <w:t>T1 — Single exogenous criterion.</w:t>
      </w:r>
      <w:r>
        <w:t xml:space="preserve"> The only exogenous benchmark of this paper is DBE-KT22's 212 teacher labels; the Junyi platform labels areco-sourced with the logs and serve only as a secondarycontrol; P2 holdout is non-exogenous. Whether M4-E's repair conclusion is robust under a third independent exogenous label remains to be tested. This is the clearest unresolved threat of this paper.</w:t>
      </w:r>
    </w:p>
    <w:p>
      <w:pPr>
        <w:ind w:firstLine="360"/>
        <w:jc w:val="both"/>
      </w:pPr>
      <w:r>
        <w:rPr>
          <w:b/>
        </w:rPr>
        <w:t>T2 — Unresolved boundary of reliability ≠ validity.</w:t>
      </w:r>
      <w:r>
        <w:t xml:space="preserve"> §3.2 proves that when an auxiliary signal carries specific variance "unrelated to the validity target," M4 weights noise more heavily, but gives no decision rule for "when an auxiliary signal truly carries exogenous increment"; M4-E depends on out-of-fold λ calibration, which itself requires exogenous labels, so this rule cannot be obtained under pure cold-start (no labels at all).</w:t>
      </w:r>
    </w:p>
    <w:p>
      <w:pPr>
        <w:ind w:firstLine="360"/>
        <w:jc w:val="both"/>
      </w:pPr>
      <w:r>
        <w:rPr>
          <w:b/>
        </w:rPr>
        <w:t>T3 — Recomputation-environment difference.</w:t>
      </w:r>
      <w:r>
        <w:t xml:space="preserve"> </w:t>
      </w:r>
      <w:r>
        <w:rPr>
          <w:rFonts w:ascii="Courier New" w:hAnsi="Courier New"/>
          <w:sz w:val="22"/>
        </w:rPr>
        <w:t>m4_results.json</w:t>
      </w:r>
      <w:r>
        <w:t xml:space="preserve">'s RNG is </w:t>
      </w:r>
      <w:r>
        <w:rPr>
          <w:rFonts w:ascii="Courier New" w:hAnsi="Courier New"/>
          <w:sz w:val="22"/>
        </w:rPr>
        <w:t>random.Random(seed)</w:t>
      </w:r>
      <w:r>
        <w:t xml:space="preserve">, </w:t>
      </w:r>
      <w:r>
        <w:rPr>
          <w:b/>
        </w:rPr>
        <w:t>different in origin</w:t>
      </w:r>
      <w:r>
        <w:t xml:space="preserve"> from M1's </w:t>
      </w:r>
      <w:r>
        <w:rPr>
          <w:rFonts w:ascii="Courier New" w:hAnsi="Courier New"/>
          <w:sz w:val="22"/>
        </w:rPr>
        <w:t>o11_fusion_optimization.json</w:t>
      </w:r>
      <w:r>
        <w:t xml:space="preserve"> numpy PCG64, so absolute values are not bit-comparable (recorded in the json </w:t>
      </w:r>
      <w:r>
        <w:rPr>
          <w:rFonts w:ascii="Courier New" w:hAnsi="Courier New"/>
          <w:sz w:val="22"/>
        </w:rPr>
        <w:t>note</w:t>
      </w:r>
      <w:r>
        <w:t>); all significance conclusions of this paper are within-group pairedsense and do not depend on cross-script bit-recomputation, but readers citing cross-script values should note this difference.</w:t>
      </w:r>
    </w:p>
    <w:p>
      <w:pPr>
        <w:ind w:firstLine="360"/>
        <w:jc w:val="both"/>
      </w:pPr>
      <w:r>
        <w:rPr>
          <w:b/>
        </w:rPr>
        <w:t>T4 — Un-executed items.</w:t>
      </w:r>
      <w:r>
        <w:t xml:space="preserve"> This paper did not do: ① a separate validation of M4-D's per-item local reliability on an </w:t>
      </w:r>
      <w:r>
        <w:rPr>
          <w:b/>
        </w:rPr>
        <w:t>exogenous</w:t>
      </w:r>
      <w:r>
        <w:t xml:space="preserve"> criterion (M4-D is only implemented; in the P1a collapse/repair experiment the coverage path was not separately isolated and reported); ② re-verification of M4-E on a third independent exogenous label (see T1); ③ a direct same-protocol comparison with R11's tree ensemble (per the §6.3 boundary, this paper does not do it).</w:t>
      </w:r>
    </w:p>
    <w:p>
      <w:bookmarkStart w:id="7" w:name="section-8"/>
      <w:pPr>
        <w:pStyle w:val="Heading2"/>
      </w:pPr>
      <w:bookmarkEnd w:id="7"/>
      <w:r>
        <w:rPr>
          <w:rFonts w:ascii="Times New Roman" w:hAnsi="Times New Roman"/>
          <w:b/>
          <w:color w:val="000000"/>
          <w:sz w:val="28"/>
        </w:rPr>
        <w:t>8 Conclusion</w:t>
      </w:r>
    </w:p>
    <w:p>
      <w:pPr>
        <w:ind w:firstLine="360"/>
        <w:jc w:val="both"/>
      </w:pPr>
      <w:r>
        <w:t xml:space="preserve">This paper proposes M4 — the reliability-structured estimator for the "cold-start multi-signal combination" stage in LearnFlow's four-chain difficulty system — formalizes its four structural improvements (M4-A/B/C/D) and proves that </w:t>
      </w:r>
      <w:r>
        <w:rPr>
          <w:rFonts w:ascii="Courier New" w:hAnsi="Courier New"/>
          <w:sz w:val="22"/>
        </w:rPr>
        <w:t>srw7</w:t>
      </w:r>
      <w:r>
        <w:t xml:space="preserve"> is a special case; gives the analytic proof and numerical companion of Proposition P1 (under additive separability, pairwise BT = linear combination, ρ = 1.0, convergence certificate ‖∇ℓ‖_∞ = 1e-11), and mechanism-diagnoses that LLM judges implicitly do precision weighting (0.96404 &gt; 0.939289).</w:t>
      </w:r>
    </w:p>
    <w:p>
      <w:pPr>
        <w:ind w:firstLine="360"/>
        <w:jc w:val="both"/>
      </w:pPr>
      <w:r>
        <w:t xml:space="preserve">The core contribution of this paper is to </w:t>
      </w:r>
      <w:r>
        <w:rPr>
          <w:b/>
        </w:rPr>
        <w:t>honestly report and repair a negative result</w:t>
      </w:r>
      <w:r>
        <w:t>: on the only exogenous criterion (DBE teacher labels), the structurally "more correct" full M4 estimator collapses with sample size (k=200 τ_b = 0.0796, Δ = −0.0903, win-rate 0.00), root-caused in the auxiliary signals being collinear with the success rate and the derived λ mistaking redundancy for increment; M4-E residualization repairs this collapse (k=200 τ_b = 0.1718, Δ = +0.0019, t = 5.66, win-rate 0.90).</w:t>
      </w:r>
    </w:p>
    <w:p>
      <w:pPr>
        <w:ind w:firstLine="360"/>
        <w:jc w:val="both"/>
      </w:pPr>
      <w:r>
        <w:t>This paper simultaneously reports that this conclusion completely flips on theco-sourced Junyi platform labels (M4 wins everywhere, k=200 Δ = +0.0708), thereby establishing the methodological discipline that "gain claims must annotate the criterion and sample size," and the formal boundary that "reliability ≠ validity." M4 has been landed as production code (</w:t>
      </w:r>
      <w:r>
        <w:rPr>
          <w:rFonts w:ascii="Courier New" w:hAnsi="Courier New"/>
          <w:sz w:val="22"/>
        </w:rPr>
        <w:t>app/services/difficulty_m4.py</w:t>
      </w:r>
      <w:r>
        <w:t>) with 44 tests (offline 44 PASS / 0 FAIL; 33 baseline + 7 residualization + 4 efficiency-preservation), and the existing bit-exact gate is untouched.The necessary prerequisite for the future is to introduce a third independent exogenous label and an exogenous validation of M4-D's per-item reliability (§7 T1/T2).</w:t>
      </w:r>
    </w:p>
    <w:p>
      <w:pPr>
        <w:pStyle w:val="Heading2"/>
      </w:pPr>
      <w:r>
        <w:rPr>
          <w:rFonts w:ascii="Times New Roman" w:hAnsi="Times New Roman"/>
          <w:b/>
          <w:color w:val="000000"/>
          <w:sz w:val="28"/>
        </w:rPr>
        <w:t>References</w:t>
      </w:r>
    </w:p>
    <w:p>
      <w:pPr>
        <w:pStyle w:val="ListNumber"/>
        <w:numPr>
          <w:ilvl w:val="0"/>
          <w:numId w:val="10"/>
        </w:numPr>
        <w:spacing w:after="120"/>
        <w:jc w:val="both"/>
      </w:pPr>
      <w:r>
        <w:t xml:space="preserve">Abdelrahman, G., Abdelfattah, S., Wang, Q., &amp; Lin, Y. (2022). DBE-KT22: A Knowledge Tracing Benchmark Dataset with Detailed Exercise Annotation. </w:t>
      </w:r>
      <w:r>
        <w:rPr>
          <w:i/>
        </w:rPr>
        <w:t>arXiv:2208.12651</w:t>
      </w:r>
      <w:r>
        <w:t>. [</w:t>
      </w:r>
      <w:r>
        <w:rPr>
          <w:rFonts w:ascii="Courier New" w:hAnsi="Courier New"/>
          <w:sz w:val="22"/>
        </w:rPr>
        <w:t>abdelrahman2022dbekt22</w:t>
      </w:r>
      <w:r>
        <w:t>]</w:t>
      </w:r>
    </w:p>
    <w:p>
      <w:pPr>
        <w:pStyle w:val="ListNumber"/>
        <w:numPr>
          <w:ilvl w:val="0"/>
          <w:numId w:val="10"/>
        </w:numPr>
        <w:spacing w:after="120"/>
        <w:jc w:val="both"/>
      </w:pPr>
      <w:r>
        <w:t xml:space="preserve">Castleman, B., Macar, U., &amp; Salleb-Aouissi, A. (2024). Hierarchical multi-armed bandits for the concurrent intelligent tutoring of concepts and problems of varying difficulty levels. </w:t>
      </w:r>
      <w:r>
        <w:rPr>
          <w:i/>
        </w:rPr>
        <w:t>Reinforcement Learning Conference (RLC)</w:t>
      </w:r>
      <w:r>
        <w:t>. [</w:t>
      </w:r>
      <w:r>
        <w:rPr>
          <w:rFonts w:ascii="Courier New" w:hAnsi="Courier New"/>
          <w:sz w:val="22"/>
        </w:rPr>
        <w:t>castleman2024hierarchical</w:t>
      </w:r>
      <w:r>
        <w:t>]</w:t>
      </w:r>
    </w:p>
    <w:p>
      <w:pPr>
        <w:pStyle w:val="ListNumber"/>
        <w:numPr>
          <w:ilvl w:val="0"/>
          <w:numId w:val="10"/>
        </w:numPr>
        <w:spacing w:after="120"/>
        <w:jc w:val="both"/>
      </w:pPr>
      <w:r>
        <w:t xml:space="preserve">Kolesnikova, D., Fedyanin, K., Hofman, A. D., Brinkhuis, M. J. S., &amp; Bolsinova, M. (2026). Estimating Item Difficulty with Large Language Models as Experts. </w:t>
      </w:r>
      <w:r>
        <w:rPr>
          <w:i/>
        </w:rPr>
        <w:t>arXiv:2605.18562</w:t>
      </w:r>
      <w:r>
        <w:t>. [</w:t>
      </w:r>
      <w:r>
        <w:rPr>
          <w:rFonts w:ascii="Courier New" w:hAnsi="Courier New"/>
          <w:sz w:val="22"/>
        </w:rPr>
        <w:t>kolesnikova2026itemdifficulty</w:t>
      </w:r>
      <w:r>
        <w:t>]</w:t>
      </w:r>
    </w:p>
    <w:p>
      <w:pPr>
        <w:pStyle w:val="ListNumber"/>
        <w:numPr>
          <w:ilvl w:val="0"/>
          <w:numId w:val="10"/>
        </w:numPr>
        <w:spacing w:after="120"/>
        <w:jc w:val="both"/>
      </w:pPr>
      <w:r>
        <w:t>Li, M., Chen, H., Xiao, Y., Chen, J., Jiao, H., &amp; Zhou, T. (2026). Can LLMs Estimate Student Struggles? Findings of ACL 2026. [</w:t>
      </w:r>
      <w:r>
        <w:rPr>
          <w:rFonts w:ascii="Courier New" w:hAnsi="Courier New"/>
          <w:sz w:val="22"/>
        </w:rPr>
        <w:t>li2026canllms</w:t>
      </w:r>
      <w:r>
        <w:t>]</w:t>
      </w:r>
    </w:p>
    <w:p>
      <w:pPr>
        <w:pStyle w:val="ListNumber"/>
        <w:numPr>
          <w:ilvl w:val="0"/>
          <w:numId w:val="10"/>
        </w:numPr>
        <w:spacing w:after="120"/>
        <w:jc w:val="both"/>
      </w:pPr>
      <w:r>
        <w:t xml:space="preserve">Razavi, P., &amp; Powers, S. J. (2026). Estimating item difficulty using large language models and tree-based machine learning algorithms. </w:t>
      </w:r>
      <w:r>
        <w:rPr>
          <w:i/>
        </w:rPr>
        <w:t>IJAIED, 36</w:t>
      </w:r>
      <w:r>
        <w:t>(3), Article 100015. [</w:t>
      </w:r>
      <w:r>
        <w:rPr>
          <w:rFonts w:ascii="Courier New" w:hAnsi="Courier New"/>
          <w:sz w:val="22"/>
        </w:rPr>
        <w:t>razavi2026itemdifficulty</w:t>
      </w:r>
      <w:r>
        <w:t>]</w:t>
      </w:r>
    </w:p>
    <w:p>
      <w:pPr>
        <w:pStyle w:val="ListNumber"/>
        <w:numPr>
          <w:ilvl w:val="0"/>
          <w:numId w:val="10"/>
        </w:numPr>
        <w:spacing w:after="120"/>
        <w:jc w:val="both"/>
      </w:pPr>
      <w:r>
        <w:t xml:space="preserve">Wilson, R. C., Shenhav, A., Straccia, M., &amp; Cohen, J. D. (2019). The Eighty Five Percent Rule for optimal learning. </w:t>
      </w:r>
      <w:r>
        <w:rPr>
          <w:i/>
        </w:rPr>
        <w:t>Nature Communications, 10</w:t>
      </w:r>
      <w:r>
        <w:t>, 4646. [</w:t>
      </w:r>
      <w:r>
        <w:rPr>
          <w:rFonts w:ascii="Courier New" w:hAnsi="Courier New"/>
          <w:sz w:val="22"/>
        </w:rPr>
        <w:t>wilson2019eightyfive</w:t>
      </w:r>
      <w:r>
        <w:t>]</w:t>
      </w:r>
    </w:p>
    <w:p>
      <w:pPr>
        <w:pStyle w:val="ListNumber"/>
        <w:numPr>
          <w:ilvl w:val="0"/>
          <w:numId w:val="10"/>
        </w:numPr>
        <w:spacing w:after="120"/>
        <w:jc w:val="both"/>
      </w:pPr>
      <w:r>
        <w:t xml:space="preserve">Yeung, C.-K., &amp; Yeung, D.-Y. (2019). Deep-IRT: Make deep learning based knowledge tracing explainable using item response theory. </w:t>
      </w:r>
      <w:r>
        <w:rPr>
          <w:i/>
        </w:rPr>
        <w:t>EDM 2019</w:t>
      </w:r>
      <w:r>
        <w:t>. [</w:t>
      </w:r>
      <w:r>
        <w:rPr>
          <w:rFonts w:ascii="Courier New" w:hAnsi="Courier New"/>
          <w:sz w:val="22"/>
        </w:rPr>
        <w:t>yeung2019deepirt</w:t>
      </w:r>
      <w:r>
        <w:t>]</w:t>
      </w:r>
    </w:p>
    <w:p>
      <w:pPr>
        <w:pStyle w:val="ListNumber"/>
        <w:numPr>
          <w:ilvl w:val="0"/>
          <w:numId w:val="10"/>
        </w:numPr>
        <w:spacing w:after="120"/>
        <w:jc w:val="both"/>
      </w:pPr>
      <w:r>
        <w:t xml:space="preserve">Corbett, A. T., &amp; Anderson, J. R. (1994). Knowledge tracing: Modeling the acquisition of procedural knowledge. </w:t>
      </w:r>
      <w:r>
        <w:rPr>
          <w:i/>
        </w:rPr>
        <w:t>User Modelling and User-Adapted Interaction, 4</w:t>
      </w:r>
      <w:r>
        <w:t>(4), 253–278. [</w:t>
      </w:r>
      <w:r>
        <w:rPr>
          <w:rFonts w:ascii="Courier New" w:hAnsi="Courier New"/>
          <w:sz w:val="22"/>
        </w:rPr>
        <w:t>corbett1994knowledge</w:t>
      </w:r>
      <w:r>
        <w:t>]</w:t>
      </w:r>
    </w:p>
    <w:p>
      <w:pPr>
        <w:pStyle w:val="ListNumber"/>
        <w:numPr>
          <w:ilvl w:val="0"/>
          <w:numId w:val="10"/>
        </w:numPr>
        <w:spacing w:after="120"/>
        <w:jc w:val="both"/>
      </w:pPr>
      <w:r>
        <w:t xml:space="preserve">Guadagnoli, M. A., &amp; Lee, T. D. (2004). Challenge point: A framework for conceptualizing the effects of various practice conditions in motor learning. </w:t>
      </w:r>
      <w:r>
        <w:rPr>
          <w:i/>
        </w:rPr>
        <w:t>Journal of Motor Behavior, 36</w:t>
      </w:r>
      <w:r>
        <w:t>(2), 212–224. [</w:t>
      </w:r>
      <w:r>
        <w:rPr>
          <w:rFonts w:ascii="Courier New" w:hAnsi="Courier New"/>
          <w:sz w:val="22"/>
        </w:rPr>
        <w:t>guadagnoli2004challengepoint</w:t>
      </w:r>
      <w:r>
        <w:t>]</w:t>
      </w:r>
    </w:p>
    <w:p>
      <w:pPr>
        <w:pStyle w:val="ListNumber"/>
        <w:numPr>
          <w:ilvl w:val="0"/>
          <w:numId w:val="10"/>
        </w:numPr>
        <w:spacing w:after="120"/>
        <w:jc w:val="both"/>
      </w:pPr>
      <w:r>
        <w:t xml:space="preserve">Abdelrahman, G., Wang, Q., &amp; Nunes, B. (2023). Knowledge Tracing: A Survey. </w:t>
      </w:r>
      <w:r>
        <w:rPr>
          <w:i/>
        </w:rPr>
        <w:t>ACM Computing Surveys, 55</w:t>
      </w:r>
      <w:r>
        <w:t>(11), 224. [</w:t>
      </w:r>
      <w:r>
        <w:rPr>
          <w:rFonts w:ascii="Courier New" w:hAnsi="Courier New"/>
          <w:sz w:val="22"/>
        </w:rPr>
        <w:t>abdelrahman2023knowledge</w:t>
      </w:r>
      <w:r>
        <w:t>]</w:t>
      </w:r>
    </w:p>
    <w:p>
      <w:pPr>
        <w:pStyle w:val="ListNumber"/>
        <w:numPr>
          <w:ilvl w:val="0"/>
          <w:numId w:val="10"/>
        </w:numPr>
        <w:spacing w:after="120"/>
        <w:jc w:val="both"/>
      </w:pPr>
      <w:r>
        <w:t xml:space="preserve">Kolen, M. J., &amp; Brennan, R. L. (2014). </w:t>
      </w:r>
      <w:r>
        <w:rPr>
          <w:i/>
        </w:rPr>
        <w:t>Test Equating, Scaling, and Linking: Methods and Practices</w:t>
      </w:r>
      <w:r>
        <w:t xml:space="preserve"> (3rd ed.). Springer. [</w:t>
      </w:r>
      <w:r>
        <w:rPr>
          <w:rFonts w:ascii="Courier New" w:hAnsi="Courier New"/>
          <w:sz w:val="22"/>
        </w:rPr>
        <w:t>kolen2014testequating</w:t>
      </w:r>
      <w:r>
        <w:t>]</w:t>
      </w:r>
    </w:p>
    <w:p>
      <w:pPr>
        <w:pStyle w:val="ListNumber"/>
        <w:numPr>
          <w:ilvl w:val="0"/>
          <w:numId w:val="10"/>
        </w:numPr>
        <w:spacing w:after="120"/>
        <w:jc w:val="both"/>
      </w:pPr>
      <w:r>
        <w:t xml:space="preserve">(The Bradley–Terry model (Bradley &amp; Terry, 1952, </w:t>
      </w:r>
      <w:r>
        <w:rPr>
          <w:i/>
        </w:rPr>
        <w:t>Biometrika</w:t>
      </w:r>
      <w:r>
        <w:t>) is cited as a standard statistical model; following M3's convention we do not assign it a separate bib key.)</w:t>
      </w:r>
    </w:p>
    <w:p>
      <w:bookmarkStart w:id="8" w:name="section-9"/>
      <w:pPr>
        <w:pStyle w:val="Heading2"/>
      </w:pPr>
      <w:bookmarkEnd w:id="8"/>
      <w:r>
        <w:rPr>
          <w:rFonts w:ascii="Times New Roman" w:hAnsi="Times New Roman"/>
          <w:b/>
          <w:color w:val="000000"/>
          <w:sz w:val="28"/>
        </w:rPr>
        <w:t>Appendix A Reproducibility Checklist</w:t>
      </w:r>
    </w:p>
    <w:p>
      <w:pPr>
        <w:pStyle w:val="ListNumber"/>
        <w:numPr>
          <w:ilvl w:val="0"/>
          <w:numId w:val="11"/>
        </w:numPr>
        <w:spacing w:after="120"/>
        <w:jc w:val="both"/>
      </w:pPr>
      <w:r>
        <w:rPr>
          <w:b/>
        </w:rPr>
        <w:t>Proposition P1 companion</w:t>
      </w:r>
      <w:r>
        <w:t xml:space="preserve">: </w:t>
      </w:r>
      <w:r>
        <w:rPr>
          <w:rFonts w:ascii="Courier New" w:hAnsi="Courier New"/>
          <w:sz w:val="22"/>
        </w:rPr>
        <w:t>python results/code/m4_proposition_p1.py</w:t>
      </w:r>
      <w:r>
        <w:t xml:space="preserve"> → </w:t>
      </w:r>
      <w:r>
        <w:rPr>
          <w:rFonts w:ascii="Courier New" w:hAnsi="Courier New"/>
          <w:sz w:val="22"/>
        </w:rPr>
        <w:t>results/code/m4_proposition_p1.json</w:t>
      </w:r>
      <w:r>
        <w:t xml:space="preserve">. Key keys: </w:t>
      </w:r>
      <w:r>
        <w:rPr>
          <w:rFonts w:ascii="Courier New" w:hAnsi="Courier New"/>
          <w:sz w:val="22"/>
        </w:rPr>
        <w:t>rho_logit_sum_vs_u_min</w:t>
      </w:r>
      <w:r>
        <w:t xml:space="preserve"> (=1.0), </w:t>
      </w:r>
      <w:r>
        <w:rPr>
          <w:rFonts w:ascii="Courier New" w:hAnsi="Courier New"/>
          <w:sz w:val="22"/>
        </w:rPr>
        <w:t>rho_logit_mean_vs_u_min</w:t>
      </w:r>
      <w:r>
        <w:t xml:space="preserve"> (=1.0), </w:t>
      </w:r>
      <w:r>
        <w:rPr>
          <w:rFonts w:ascii="Courier New" w:hAnsi="Courier New"/>
          <w:sz w:val="22"/>
        </w:rPr>
        <w:t>rho_prob_mean_vs_u_max</w:t>
      </w:r>
      <w:r>
        <w:t xml:space="preserve"> (=1.0), </w:t>
      </w:r>
      <w:r>
        <w:rPr>
          <w:rFonts w:ascii="Courier New" w:hAnsi="Courier New"/>
          <w:sz w:val="22"/>
        </w:rPr>
        <w:t>rho_partial_obs_vs_u_max</w:t>
      </w:r>
      <w:r>
        <w:t xml:space="preserve"> (=0.996992), </w:t>
      </w:r>
      <w:r>
        <w:rPr>
          <w:rFonts w:ascii="Courier New" w:hAnsi="Courier New"/>
          <w:sz w:val="22"/>
        </w:rPr>
        <w:t>grad_inf_max</w:t>
      </w:r>
      <w:r>
        <w:t xml:space="preserve"> (=1e-11), </w:t>
      </w:r>
      <w:r>
        <w:rPr>
          <w:rFonts w:ascii="Courier New" w:hAnsi="Courier New"/>
          <w:sz w:val="22"/>
        </w:rPr>
        <w:t>rho_prec_vs_latent_mean</w:t>
      </w:r>
      <w:r>
        <w:t xml:space="preserve"> (=0.898649), </w:t>
      </w:r>
      <w:r>
        <w:rPr>
          <w:rFonts w:ascii="Courier New" w:hAnsi="Courier New"/>
          <w:sz w:val="22"/>
        </w:rPr>
        <w:t>rho_prob_mean_vs_prec_mean</w:t>
      </w:r>
      <w:r>
        <w:t xml:space="preserve"> (=0.96404), </w:t>
      </w:r>
      <w:r>
        <w:rPr>
          <w:rFonts w:ascii="Courier New" w:hAnsi="Courier New"/>
          <w:sz w:val="22"/>
        </w:rPr>
        <w:t>rho_u_vs_prec_mean</w:t>
      </w:r>
      <w:r>
        <w:t xml:space="preserve"> (=0.939289).</w:t>
      </w:r>
    </w:p>
    <w:p>
      <w:pPr>
        <w:pStyle w:val="ListNumber"/>
        <w:numPr>
          <w:ilvl w:val="0"/>
          <w:numId w:val="11"/>
        </w:numPr>
        <w:spacing w:after="120"/>
        <w:jc w:val="both"/>
      </w:pPr>
      <w:r>
        <w:rPr>
          <w:b/>
        </w:rPr>
        <w:t>M4 main experiment</w:t>
      </w:r>
      <w:r>
        <w:t xml:space="preserve">: </w:t>
      </w:r>
      <w:r>
        <w:rPr>
          <w:rFonts w:ascii="Courier New" w:hAnsi="Courier New"/>
          <w:sz w:val="22"/>
        </w:rPr>
        <w:t>python results/code/run_m4.py</w:t>
      </w:r>
      <w:r>
        <w:t xml:space="preserve"> → </w:t>
      </w:r>
      <w:r>
        <w:rPr>
          <w:rFonts w:ascii="Courier New" w:hAnsi="Courier New"/>
          <w:sz w:val="22"/>
        </w:rPr>
        <w:t>results/code/m4_results.json</w:t>
      </w:r>
      <w:r>
        <w:t xml:space="preserve">. Protocols: </w:t>
      </w:r>
      <w:r>
        <w:rPr>
          <w:rFonts w:ascii="Courier New" w:hAnsi="Courier New"/>
          <w:sz w:val="22"/>
        </w:rPr>
        <w:t>P1_dbe_teacher_labels</w:t>
      </w:r>
      <w:r>
        <w:t xml:space="preserve"> (exogenous), </w:t>
      </w:r>
      <w:r>
        <w:rPr>
          <w:rFonts w:ascii="Courier New" w:hAnsi="Courier New"/>
          <w:sz w:val="22"/>
        </w:rPr>
        <w:t>P1_junyi_platform_labels</w:t>
      </w:r>
      <w:r>
        <w:t xml:space="preserve"> (secondary), </w:t>
      </w:r>
      <w:r>
        <w:rPr>
          <w:rFonts w:ascii="Courier New" w:hAnsi="Courier New"/>
          <w:sz w:val="22"/>
        </w:rPr>
        <w:t>P2_junyi_holdout_errorrate</w:t>
      </w:r>
      <w:r>
        <w:t xml:space="preserve"> (non-exogenouscontrol). The </w:t>
      </w:r>
      <w:r>
        <w:rPr>
          <w:rFonts w:ascii="Courier New" w:hAnsi="Courier New"/>
          <w:sz w:val="22"/>
        </w:rPr>
        <w:t>estimators</w:t>
      </w:r>
      <w:r>
        <w:t xml:space="preserve"> field contains all variant definitions (</w:t>
      </w:r>
      <w:r>
        <w:rPr>
          <w:rFonts w:ascii="Courier New" w:hAnsi="Courier New"/>
          <w:sz w:val="22"/>
        </w:rPr>
        <w:t>ESTIMATOR_DOC</w:t>
      </w:r>
      <w:r>
        <w:t xml:space="preserve">, </w:t>
      </w:r>
      <w:r>
        <w:rPr>
          <w:rFonts w:ascii="Courier New" w:hAnsi="Courier New"/>
          <w:sz w:val="22"/>
        </w:rPr>
        <w:t>results/code/run_m4.py:402-415</w:t>
      </w:r>
      <w:r>
        <w:t>).</w:t>
      </w:r>
    </w:p>
    <w:p>
      <w:pPr>
        <w:pStyle w:val="ListNumber"/>
        <w:numPr>
          <w:ilvl w:val="0"/>
          <w:numId w:val="11"/>
        </w:numPr>
        <w:spacing w:after="120"/>
        <w:jc w:val="both"/>
      </w:pPr>
      <w:r>
        <w:rPr>
          <w:b/>
        </w:rPr>
        <w:t>Production code</w:t>
      </w:r>
      <w:r>
        <w:t xml:space="preserve">: </w:t>
      </w:r>
      <w:r>
        <w:rPr>
          <w:rFonts w:ascii="Courier New" w:hAnsi="Courier New"/>
          <w:sz w:val="22"/>
        </w:rPr>
        <w:t>app/services/difficulty_m4.py</w:t>
      </w:r>
      <w:r>
        <w:t xml:space="preserve"> (</w:t>
      </w:r>
      <w:r>
        <w:rPr>
          <w:rFonts w:ascii="Courier New" w:hAnsi="Courier New"/>
          <w:sz w:val="22"/>
        </w:rPr>
        <w:t>_m4_beta_from_ranks</w:t>
      </w:r>
      <w:r>
        <w:t xml:space="preserve">:166, </w:t>
      </w:r>
      <w:r>
        <w:rPr>
          <w:rFonts w:ascii="Courier New" w:hAnsi="Courier New"/>
          <w:sz w:val="22"/>
        </w:rPr>
        <w:t>m4_beta</w:t>
      </w:r>
      <w:r>
        <w:t xml:space="preserve">:185, </w:t>
      </w:r>
      <w:r>
        <w:rPr>
          <w:rFonts w:ascii="Courier New" w:hAnsi="Courier New"/>
          <w:sz w:val="22"/>
        </w:rPr>
        <w:t>incremental_columns</w:t>
      </w:r>
      <w:r>
        <w:t xml:space="preserve">:261, </w:t>
      </w:r>
      <w:r>
        <w:rPr>
          <w:rFonts w:ascii="Courier New" w:hAnsi="Courier New"/>
          <w:sz w:val="22"/>
        </w:rPr>
        <w:t>estimate_m4_difficulty</w:t>
      </w:r>
      <w:r>
        <w:t xml:space="preserve">:304, M4-E branch:392-405, per-item β path:407-437, </w:t>
      </w:r>
      <w:r>
        <w:rPr>
          <w:rFonts w:ascii="Courier New" w:hAnsi="Courier New"/>
          <w:sz w:val="22"/>
        </w:rPr>
        <w:t>derived_lambda</w:t>
      </w:r>
      <w:r>
        <w:t xml:space="preserve">:234, </w:t>
      </w:r>
      <w:r>
        <w:rPr>
          <w:rFonts w:ascii="Courier New" w:hAnsi="Courier New"/>
          <w:sz w:val="22"/>
        </w:rPr>
        <w:t>coverage_reliability</w:t>
      </w:r>
      <w:r>
        <w:t>:140).</w:t>
      </w:r>
    </w:p>
    <w:p>
      <w:pPr>
        <w:pStyle w:val="ListNumber"/>
        <w:numPr>
          <w:ilvl w:val="0"/>
          <w:numId w:val="11"/>
        </w:numPr>
        <w:spacing w:after="120"/>
        <w:jc w:val="both"/>
      </w:pPr>
      <w:r>
        <w:rPr>
          <w:b/>
        </w:rPr>
        <w:t>Tests</w:t>
      </w:r>
      <w:r>
        <w:t xml:space="preserve">: </w:t>
      </w:r>
      <w:r>
        <w:rPr>
          <w:rFonts w:ascii="Courier New" w:hAnsi="Courier New"/>
          <w:sz w:val="22"/>
        </w:rPr>
        <w:t>tests/test_difficulty_m4.py</w:t>
      </w:r>
      <w:r>
        <w:t xml:space="preserve"> (33 baseline + </w:t>
      </w:r>
      <w:r>
        <w:rPr>
          <w:rFonts w:ascii="Courier New" w:hAnsi="Courier New"/>
          <w:sz w:val="22"/>
        </w:rPr>
        <w:t>TestResidualization</w:t>
      </w:r>
      <w:r>
        <w:t xml:space="preserve"> 7 + </w:t>
      </w:r>
      <w:r>
        <w:rPr>
          <w:rFonts w:ascii="Courier New" w:hAnsi="Courier New"/>
          <w:sz w:val="22"/>
        </w:rPr>
        <w:t>TestEfficiencyRefactor</w:t>
      </w:r>
      <w:r>
        <w:t xml:space="preserve"> 4 = 44 cases); offline rerun </w:t>
      </w:r>
      <w:r>
        <w:rPr>
          <w:rFonts w:ascii="Courier New" w:hAnsi="Courier New"/>
          <w:sz w:val="22"/>
        </w:rPr>
        <w:t>run_tests_offline.py</w:t>
      </w:r>
      <w:r>
        <w:t xml:space="preserve"> → </w:t>
      </w:r>
      <w:r>
        <w:rPr>
          <w:b/>
        </w:rPr>
        <w:t>44 PASS / 0 FAIL / 0 ERROR / 0 SKIP</w:t>
      </w:r>
      <w:r>
        <w:t>.</w:t>
      </w:r>
    </w:p>
    <w:p>
      <w:pPr>
        <w:pStyle w:val="ListNumber"/>
        <w:numPr>
          <w:ilvl w:val="0"/>
          <w:numId w:val="11"/>
        </w:numPr>
        <w:spacing w:after="120"/>
        <w:jc w:val="both"/>
      </w:pPr>
      <w:r>
        <w:rPr>
          <w:b/>
        </w:rPr>
        <w:t>Efficiency benchmark</w:t>
      </w:r>
      <w:r>
        <w:t xml:space="preserve">: </w:t>
      </w:r>
      <w:r>
        <w:rPr>
          <w:rFonts w:ascii="Courier New" w:hAnsi="Courier New"/>
          <w:sz w:val="22"/>
        </w:rPr>
        <w:t>results/code/benchmark_m4_efficiency.py</w:t>
      </w:r>
      <w:r>
        <w:t xml:space="preserve"> (recomputes the §3.5 speedup table; zero precision cost, numerically bit-identical to inline recomputation).</w:t>
      </w:r>
      <w:r/>
      <w:r/>
    </w:p>
    <w:sectPr w:rsidR="00FC693F" w:rsidRPr="0006063C" w:rsidSect="00034616">
      <w:footerReference w:type="default" r:id="rId9"/>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6" w:lineRule="auto" w:after="120"/>
      <w:ind w:firstLine="360"/>
      <w:jc w:val="both"/>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20"/>
      <w:jc w:val="center"/>
      <w:outlineLvl w:val="0"/>
    </w:pPr>
    <w:rPr>
      <w:rFonts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8" w:after="12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120"/>
      <w:outlineLvl w:val="3"/>
    </w:pPr>
    <w:rPr>
      <w:rFonts w:ascii="Times New Roman" w:hAnsi="Times New Roman" w:eastAsia="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