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LearnFlow 研究进展报告</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——测量侧与静态侧研究已完成，因果侧待执行</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报告说明</w:t>
      </w:r>
    </w:p>
    <w:p>
      <w:pPr>
        <w:spacing w:after="40"/>
        <w:ind w:left="720"/>
      </w:pPr>
      <w:r>
        <w:rPr>
          <w:rFonts w:ascii="Calibri" w:hAnsi="Calibri" w:eastAsia="Microsoft YaHei" w:cs="Microsoft YaHei"/>
          <w:sz w:val="21"/>
        </w:rPr>
        <w:t>1.1 范围与边界</w:t>
      </w:r>
    </w:p>
    <w:p>
      <w:pPr>
        <w:spacing w:after="40"/>
        <w:ind w:left="720"/>
      </w:pPr>
      <w:r>
        <w:rPr>
          <w:rFonts w:ascii="Calibri" w:hAnsi="Calibri" w:eastAsia="Microsoft YaHei" w:cs="Microsoft YaHei"/>
          <w:sz w:val="21"/>
        </w:rPr>
        <w:t>1.2 数字口径与证据分级</w:t>
      </w:r>
    </w:p>
    <w:p>
      <w:pPr>
        <w:spacing w:after="40"/>
        <w:ind w:left="720"/>
      </w:pPr>
      <w:r>
        <w:rPr>
          <w:rFonts w:ascii="Calibri" w:hAnsi="Calibri" w:eastAsia="Microsoft YaHei" w:cs="Microsoft YaHei"/>
          <w:sz w:val="21"/>
        </w:rPr>
        <w:t>1.3 复算总入口</w:t>
      </w:r>
    </w:p>
    <w:p>
      <w:pPr>
        <w:spacing w:after="40"/>
        <w:ind w:left="360"/>
      </w:pPr>
      <w:r>
        <w:rPr>
          <w:rFonts w:ascii="Calibri" w:hAnsi="Calibri" w:eastAsia="Microsoft YaHei" w:cs="Microsoft YaHei"/>
          <w:sz w:val="21"/>
        </w:rPr>
        <w:t>2 研究依托系统建设进展</w:t>
      </w:r>
    </w:p>
    <w:p>
      <w:pPr>
        <w:spacing w:after="40"/>
        <w:ind w:left="720"/>
      </w:pPr>
      <w:r>
        <w:rPr>
          <w:rFonts w:ascii="Calibri" w:hAnsi="Calibri" w:eastAsia="Microsoft YaHei" w:cs="Microsoft YaHei"/>
          <w:sz w:val="21"/>
        </w:rPr>
        <w:t>2.1 系统规模基线</w:t>
      </w:r>
    </w:p>
    <w:p>
      <w:pPr>
        <w:spacing w:after="40"/>
        <w:ind w:left="720"/>
      </w:pPr>
      <w:r>
        <w:rPr>
          <w:rFonts w:ascii="Calibri" w:hAnsi="Calibri" w:eastAsia="Microsoft YaHei" w:cs="Microsoft YaHei"/>
          <w:sz w:val="21"/>
        </w:rPr>
        <w:t>2.2 数字诚信门禁</w:t>
      </w:r>
    </w:p>
    <w:p>
      <w:pPr>
        <w:spacing w:after="40"/>
        <w:ind w:left="720"/>
      </w:pPr>
      <w:r>
        <w:rPr>
          <w:rFonts w:ascii="Calibri" w:hAnsi="Calibri" w:eastAsia="Microsoft YaHei" w:cs="Microsoft YaHei"/>
          <w:sz w:val="21"/>
        </w:rPr>
        <w:t>2.3 测量层建设</w:t>
      </w:r>
    </w:p>
    <w:p>
      <w:pPr>
        <w:spacing w:after="40"/>
        <w:ind w:left="360"/>
      </w:pPr>
      <w:r>
        <w:rPr>
          <w:rFonts w:ascii="Calibri" w:hAnsi="Calibri" w:eastAsia="Microsoft YaHei" w:cs="Microsoft YaHei"/>
          <w:sz w:val="21"/>
        </w:rPr>
        <w:t>3 论文一：难度量纲的可公度性</w:t>
      </w:r>
    </w:p>
    <w:p>
      <w:pPr>
        <w:spacing w:after="40"/>
        <w:ind w:left="720"/>
      </w:pPr>
      <w:r>
        <w:rPr>
          <w:rFonts w:ascii="Calibri" w:hAnsi="Calibri" w:eastAsia="Microsoft YaHei" w:cs="Microsoft YaHei"/>
          <w:sz w:val="21"/>
        </w:rPr>
        <w:t>3.1 不稳定性命题的检验</w:t>
      </w:r>
    </w:p>
    <w:p>
      <w:pPr>
        <w:spacing w:after="40"/>
        <w:ind w:left="720"/>
      </w:pPr>
      <w:r>
        <w:rPr>
          <w:rFonts w:ascii="Calibri" w:hAnsi="Calibri" w:eastAsia="Microsoft YaHei" w:cs="Microsoft YaHei"/>
          <w:sz w:val="21"/>
        </w:rPr>
        <w:t>3.2 多信号融合的增益与其判据</w:t>
      </w:r>
    </w:p>
    <w:p>
      <w:pPr>
        <w:spacing w:after="40"/>
        <w:ind w:left="720"/>
      </w:pPr>
      <w:r>
        <w:rPr>
          <w:rFonts w:ascii="Calibri" w:hAnsi="Calibri" w:eastAsia="Microsoft YaHei" w:cs="Microsoft YaHei"/>
          <w:sz w:val="21"/>
        </w:rPr>
        <w:t>3.3 判据切换后的结论反转（本报告最重要的负结果）</w:t>
      </w:r>
    </w:p>
    <w:p>
      <w:pPr>
        <w:spacing w:after="40"/>
        <w:ind w:left="720"/>
      </w:pPr>
      <w:r>
        <w:rPr>
          <w:rFonts w:ascii="Calibri" w:hAnsi="Calibri" w:eastAsia="Microsoft YaHei" w:cs="Microsoft YaHei"/>
          <w:sz w:val="21"/>
        </w:rPr>
        <w:t>3.4 方向性错误的定位与样本量自适应收缩</w:t>
      </w:r>
    </w:p>
    <w:p>
      <w:pPr>
        <w:spacing w:after="40"/>
        <w:ind w:left="720"/>
      </w:pPr>
      <w:r>
        <w:rPr>
          <w:rFonts w:ascii="Calibri" w:hAnsi="Calibri" w:eastAsia="Microsoft YaHei" w:cs="Microsoft YaHei"/>
          <w:sz w:val="21"/>
        </w:rPr>
        <w:t>3.5 估计器优化：从"剔除"到"符号校正"</w:t>
      </w:r>
    </w:p>
    <w:p>
      <w:pPr>
        <w:spacing w:after="40"/>
        <w:ind w:left="720"/>
      </w:pPr>
      <w:r>
        <w:rPr>
          <w:rFonts w:ascii="Calibri" w:hAnsi="Calibri" w:eastAsia="Microsoft YaHei" w:cs="Microsoft YaHei"/>
          <w:sz w:val="21"/>
        </w:rPr>
        <w:t>3.6 知识树结构作为难度代理的负结果</w:t>
      </w:r>
    </w:p>
    <w:p>
      <w:pPr>
        <w:spacing w:after="40"/>
        <w:ind w:left="720"/>
      </w:pPr>
      <w:r>
        <w:rPr>
          <w:rFonts w:ascii="Calibri" w:hAnsi="Calibri" w:eastAsia="Microsoft YaHei" w:cs="Microsoft YaHei"/>
          <w:sz w:val="21"/>
        </w:rPr>
        <w:t>3.7 最优错误率的描述性证据与因果识别的未竟之处</w:t>
      </w:r>
    </w:p>
    <w:p>
      <w:pPr>
        <w:spacing w:after="40"/>
        <w:ind w:left="360"/>
      </w:pPr>
      <w:r>
        <w:rPr>
          <w:rFonts w:ascii="Calibri" w:hAnsi="Calibri" w:eastAsia="Microsoft YaHei" w:cs="Microsoft YaHei"/>
          <w:sz w:val="21"/>
        </w:rPr>
        <w:t>4 论文二：多干预并存学习系统的冲突结构审计</w:t>
      </w:r>
    </w:p>
    <w:p>
      <w:pPr>
        <w:spacing w:after="40"/>
        <w:ind w:left="720"/>
      </w:pPr>
      <w:r>
        <w:rPr>
          <w:rFonts w:ascii="Calibri" w:hAnsi="Calibri" w:eastAsia="Microsoft YaHei" w:cs="Microsoft YaHei"/>
          <w:sz w:val="21"/>
        </w:rPr>
        <w:t>4.1 审计方法与证伪条件</w:t>
      </w:r>
    </w:p>
    <w:p>
      <w:pPr>
        <w:spacing w:after="40"/>
        <w:ind w:left="720"/>
      </w:pPr>
      <w:r>
        <w:rPr>
          <w:rFonts w:ascii="Calibri" w:hAnsi="Calibri" w:eastAsia="Microsoft YaHei" w:cs="Microsoft YaHei"/>
          <w:sz w:val="21"/>
        </w:rPr>
        <w:t>4.2 四项实测结果</w:t>
      </w:r>
    </w:p>
    <w:p>
      <w:pPr>
        <w:spacing w:after="40"/>
        <w:ind w:left="720"/>
      </w:pPr>
      <w:r>
        <w:rPr>
          <w:rFonts w:ascii="Calibri" w:hAnsi="Calibri" w:eastAsia="Microsoft YaHei" w:cs="Microsoft YaHei"/>
          <w:sz w:val="21"/>
        </w:rPr>
        <w:t>4.3 主线结论与审计方法的自我报告</w:t>
      </w:r>
    </w:p>
    <w:p>
      <w:pPr>
        <w:spacing w:after="40"/>
        <w:ind w:left="360"/>
      </w:pPr>
      <w:r>
        <w:rPr>
          <w:rFonts w:ascii="Calibri" w:hAnsi="Calibri" w:eastAsia="Microsoft YaHei" w:cs="Microsoft YaHei"/>
          <w:sz w:val="21"/>
        </w:rPr>
        <w:t>5 论文三：有序难度决策与大模型难度先验的可靠性边界</w:t>
      </w:r>
    </w:p>
    <w:p>
      <w:pPr>
        <w:spacing w:after="40"/>
        <w:ind w:left="720"/>
      </w:pPr>
      <w:r>
        <w:rPr>
          <w:rFonts w:ascii="Calibri" w:hAnsi="Calibri" w:eastAsia="Microsoft YaHei" w:cs="Microsoft YaHei"/>
          <w:sz w:val="21"/>
        </w:rPr>
        <w:t>5.1 有序动作空间的实证基础</w:t>
      </w:r>
    </w:p>
    <w:p>
      <w:pPr>
        <w:spacing w:after="40"/>
        <w:ind w:left="720"/>
      </w:pPr>
      <w:r>
        <w:rPr>
          <w:rFonts w:ascii="Calibri" w:hAnsi="Calibri" w:eastAsia="Microsoft YaHei" w:cs="Microsoft YaHei"/>
          <w:sz w:val="21"/>
        </w:rPr>
        <w:t>5.2 真实臂上的策略比较（奖励 = 即时成功率）：初步观察，不构成结论</w:t>
      </w:r>
    </w:p>
    <w:p>
      <w:pPr>
        <w:spacing w:after="40"/>
        <w:ind w:left="720"/>
      </w:pPr>
      <w:r>
        <w:rPr>
          <w:rFonts w:ascii="Calibri" w:hAnsi="Calibri" w:eastAsia="Microsoft YaHei" w:cs="Microsoft YaHei"/>
          <w:sz w:val="21"/>
        </w:rPr>
        <w:t>5.3 单一模型的难度先验可靠性边界</w:t>
      </w:r>
    </w:p>
    <w:p>
      <w:pPr>
        <w:spacing w:after="40"/>
        <w:ind w:left="720"/>
      </w:pPr>
      <w:r>
        <w:rPr>
          <w:rFonts w:ascii="Calibri" w:hAnsi="Calibri" w:eastAsia="Microsoft YaHei" w:cs="Microsoft YaHei"/>
          <w:sz w:val="21"/>
        </w:rPr>
        <w:t>5.4 协议审计：可用性分级、工程教训与一处方法论更正</w:t>
      </w:r>
    </w:p>
    <w:p>
      <w:pPr>
        <w:spacing w:after="40"/>
        <w:ind w:left="720"/>
      </w:pPr>
      <w:r>
        <w:rPr>
          <w:rFonts w:ascii="Calibri" w:hAnsi="Calibri" w:eastAsia="Microsoft YaHei" w:cs="Microsoft YaHei"/>
          <w:sz w:val="21"/>
        </w:rPr>
        <w:t>5.5 一条反向边界</w:t>
      </w:r>
    </w:p>
    <w:p>
      <w:pPr>
        <w:spacing w:after="40"/>
        <w:ind w:left="360"/>
      </w:pPr>
      <w:r>
        <w:rPr>
          <w:rFonts w:ascii="Calibri" w:hAnsi="Calibri" w:eastAsia="Microsoft YaHei" w:cs="Microsoft YaHei"/>
          <w:sz w:val="21"/>
        </w:rPr>
        <w:t>6 算法优化链汇总（O1–O12）</w:t>
      </w:r>
    </w:p>
    <w:p>
      <w:pPr>
        <w:spacing w:after="40"/>
        <w:ind w:left="360"/>
      </w:pPr>
      <w:r>
        <w:rPr>
          <w:rFonts w:ascii="Calibri" w:hAnsi="Calibri" w:eastAsia="Microsoft YaHei" w:cs="Microsoft YaHei"/>
          <w:sz w:val="21"/>
        </w:rPr>
        <w:t>7 工程落地</w:t>
      </w:r>
    </w:p>
    <w:p>
      <w:pPr>
        <w:spacing w:after="40"/>
        <w:ind w:left="720"/>
      </w:pPr>
      <w:r>
        <w:rPr>
          <w:rFonts w:ascii="Calibri" w:hAnsi="Calibri" w:eastAsia="Microsoft YaHei" w:cs="Microsoft YaHei"/>
          <w:sz w:val="21"/>
        </w:rPr>
        <w:t>7.1 已落地的改动</w:t>
      </w:r>
    </w:p>
    <w:p>
      <w:pPr>
        <w:spacing w:after="40"/>
        <w:ind w:left="720"/>
      </w:pPr>
      <w:r>
        <w:rPr>
          <w:rFonts w:ascii="Calibri" w:hAnsi="Calibri" w:eastAsia="Microsoft YaHei" w:cs="Microsoft YaHei"/>
          <w:sz w:val="21"/>
        </w:rPr>
        <w:t>7.2 报告期内的回归验证</w:t>
      </w:r>
    </w:p>
    <w:p>
      <w:pPr>
        <w:spacing w:after="40"/>
        <w:ind w:left="360"/>
      </w:pPr>
      <w:r>
        <w:rPr>
          <w:rFonts w:ascii="Calibri" w:hAnsi="Calibri" w:eastAsia="Microsoft YaHei" w:cs="Microsoft YaHei"/>
          <w:sz w:val="21"/>
        </w:rPr>
        <w:t>8 负结果与诚实缺口清单</w:t>
      </w:r>
    </w:p>
    <w:p>
      <w:pPr>
        <w:spacing w:after="40"/>
        <w:ind w:left="720"/>
      </w:pPr>
      <w:r>
        <w:rPr>
          <w:rFonts w:ascii="Calibri" w:hAnsi="Calibri" w:eastAsia="Microsoft YaHei" w:cs="Microsoft YaHei"/>
          <w:sz w:val="21"/>
        </w:rPr>
        <w:t>8.1 否定性结论清单</w:t>
      </w:r>
    </w:p>
    <w:p>
      <w:pPr>
        <w:spacing w:after="40"/>
        <w:ind w:left="720"/>
      </w:pPr>
      <w:r>
        <w:rPr>
          <w:rFonts w:ascii="Calibri" w:hAnsi="Calibri" w:eastAsia="Microsoft YaHei" w:cs="Microsoft YaHei"/>
          <w:sz w:val="21"/>
        </w:rPr>
        <w:t>8.2 未执行分项（诚实缺口）</w:t>
      </w:r>
    </w:p>
    <w:p>
      <w:pPr>
        <w:spacing w:after="40"/>
        <w:ind w:left="720"/>
      </w:pPr>
      <w:r>
        <w:rPr>
          <w:rFonts w:ascii="Calibri" w:hAnsi="Calibri" w:eastAsia="Microsoft YaHei" w:cs="Microsoft YaHei"/>
          <w:sz w:val="21"/>
        </w:rPr>
        <w:t>8.3 口径更正留痕</w:t>
      </w:r>
    </w:p>
    <w:p>
      <w:pPr>
        <w:spacing w:after="40"/>
        <w:ind w:left="720"/>
      </w:pPr>
      <w:r>
        <w:rPr>
          <w:rFonts w:ascii="Calibri" w:hAnsi="Calibri" w:eastAsia="Microsoft YaHei" w:cs="Microsoft YaHei"/>
          <w:sz w:val="21"/>
        </w:rPr>
        <w:t>8.4 v1.1 更正表（回应审阅意见第 4 节）</w:t>
      </w:r>
    </w:p>
    <w:p>
      <w:pPr>
        <w:spacing w:after="40"/>
        <w:ind w:left="360"/>
      </w:pPr>
      <w:r>
        <w:rPr>
          <w:rFonts w:ascii="Calibri" w:hAnsi="Calibri" w:eastAsia="Microsoft YaHei" w:cs="Microsoft YaHei"/>
          <w:sz w:val="21"/>
        </w:rPr>
        <w:t>9 未完成事项与下一步计划</w:t>
      </w:r>
    </w:p>
    <w:p>
      <w:pPr>
        <w:spacing w:after="40"/>
        <w:ind w:left="720"/>
      </w:pPr>
      <w:r>
        <w:rPr>
          <w:rFonts w:ascii="Calibri" w:hAnsi="Calibri" w:eastAsia="Microsoft YaHei" w:cs="Microsoft YaHei"/>
          <w:sz w:val="21"/>
        </w:rPr>
        <w:t>9.1 阶段二：因果侧与人类被试</w:t>
      </w:r>
    </w:p>
    <w:p>
      <w:pPr>
        <w:spacing w:after="40"/>
        <w:ind w:left="720"/>
      </w:pPr>
      <w:r>
        <w:rPr>
          <w:rFonts w:ascii="Calibri" w:hAnsi="Calibri" w:eastAsia="Microsoft YaHei" w:cs="Microsoft YaHei"/>
          <w:sz w:val="21"/>
        </w:rPr>
        <w:t>9.2 阶段三：学位论文整合</w:t>
      </w:r>
    </w:p>
    <w:p>
      <w:pPr>
        <w:spacing w:after="40"/>
        <w:ind w:left="720"/>
      </w:pPr>
      <w:r>
        <w:rPr>
          <w:rFonts w:ascii="Calibri" w:hAnsi="Calibri" w:eastAsia="Microsoft YaHei" w:cs="Microsoft YaHei"/>
          <w:sz w:val="21"/>
        </w:rPr>
        <w:t>9.3 传播计划</w:t>
      </w:r>
    </w:p>
    <w:p>
      <w:pPr>
        <w:spacing w:after="40"/>
        <w:ind w:left="720"/>
      </w:pPr>
      <w:r>
        <w:rPr>
          <w:rFonts w:ascii="Calibri" w:hAnsi="Calibri" w:eastAsia="Microsoft YaHei" w:cs="Microsoft YaHei"/>
          <w:sz w:val="21"/>
        </w:rPr>
        <w:t>9.4 本版未闭环项（据实列出）</w:t>
      </w:r>
    </w:p>
    <w:p>
      <w:pPr>
        <w:spacing w:after="40"/>
        <w:ind w:left="360"/>
      </w:pPr>
      <w:r>
        <w:rPr>
          <w:rFonts w:ascii="Calibri" w:hAnsi="Calibri" w:eastAsia="Microsoft YaHei" w:cs="Microsoft YaHei"/>
          <w:sz w:val="21"/>
        </w:rPr>
        <w:t>10 数据与代码可得性</w:t>
      </w:r>
    </w:p>
    <w:p>
      <w:pPr>
        <w:spacing w:after="40"/>
        <w:ind w:left="720"/>
      </w:pPr>
      <w:r>
        <w:rPr>
          <w:rFonts w:ascii="Calibri" w:hAnsi="Calibri" w:eastAsia="Microsoft YaHei" w:cs="Microsoft YaHei"/>
          <w:sz w:val="21"/>
        </w:rPr>
        <w:t>10.1 代码与复算产物</w:t>
      </w:r>
    </w:p>
    <w:p>
      <w:pPr>
        <w:spacing w:after="40"/>
        <w:ind w:left="720"/>
      </w:pPr>
      <w:r>
        <w:rPr>
          <w:rFonts w:ascii="Calibri" w:hAnsi="Calibri" w:eastAsia="Microsoft YaHei" w:cs="Microsoft YaHei"/>
          <w:sz w:val="21"/>
        </w:rPr>
        <w:t>10.2 数据与许可义务</w:t>
      </w:r>
    </w:p>
    <w:p>
      <w:pPr>
        <w:spacing w:after="40"/>
        <w:ind w:left="720"/>
      </w:pPr>
      <w:r>
        <w:rPr>
          <w:rFonts w:ascii="Calibri" w:hAnsi="Calibri" w:eastAsia="Microsoft YaHei" w:cs="Microsoft YaHei"/>
          <w:sz w:val="21"/>
        </w:rPr>
        <w:t>10.3 归档标识</w:t>
      </w:r>
    </w:p>
    <w:p>
      <w:pPr>
        <w:spacing w:after="40"/>
        <w:ind w:left="360"/>
      </w:pPr>
      <w:r>
        <w:rPr>
          <w:rFonts w:ascii="Calibri" w:hAnsi="Calibri" w:eastAsia="Microsoft YaHei" w:cs="Microsoft YaHei"/>
          <w:sz w:val="21"/>
        </w:rPr>
        <w:t>11 结论</w:t>
      </w:r>
    </w:p>
    <w:p>
      <w:pPr>
        <w:spacing w:after="40"/>
        <w:ind w:left="360"/>
      </w:pPr>
      <w:r>
        <w:rPr>
          <w:rFonts w:ascii="Calibri" w:hAnsi="Calibri" w:eastAsia="Microsoft YaHei" w:cs="Microsoft YaHei"/>
          <w:sz w:val="21"/>
        </w:rPr>
        <w:t>附录 A 关键数字速查表</w:t>
      </w:r>
    </w:p>
    <w:p>
      <w:pPr>
        <w:spacing w:after="40"/>
        <w:ind w:left="360"/>
      </w:pPr>
      <w:r>
        <w:rPr>
          <w:rFonts w:ascii="Calibri" w:hAnsi="Calibri" w:eastAsia="Microsoft YaHei" w:cs="Microsoft YaHei"/>
          <w:sz w:val="21"/>
        </w:rPr>
        <w:t>附录 B 术语表</w:t>
      </w:r>
    </w:p>
    <w:p/>
    <w:p>
      <w:pPr>
        <w:pStyle w:val="Heading1"/>
        <w:spacing w:before="200" w:after="80"/>
      </w:pPr>
      <w:r>
        <w:rPr>
          <w:rFonts w:ascii="Calibri" w:hAnsi="Calibri" w:eastAsia="Microsoft YaHei" w:cs="Microsoft YaHei"/>
          <w:sz w:val="32"/>
        </w:rPr>
        <w:t>——测量侧与静态侧研究已完成，因果侧待执行</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本报告与计划书停在 9 月 22~23 日的状态，而稿件与仓库已是 9 月 29 日（HEAD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）。10 月 20 日的提交件须</w:t>
      </w:r>
      <w:r>
        <w:rPr>
          <w:rFonts w:ascii="Calibri" w:hAnsi="Calibri" w:eastAsia="Microsoft YaHei" w:cs="Microsoft YaHei"/>
          <w:b/>
          <w:i/>
          <w:color w:val="555555"/>
          <w:sz w:val="19"/>
        </w:rPr>
        <w:t>全部以同一 git tag（如 `v1.1-submit`）为基准</w:t>
      </w:r>
      <w:r>
        <w:rPr>
          <w:rFonts w:ascii="Calibri" w:hAnsi="Calibri" w:eastAsia="Microsoft YaHei" w:cs="Microsoft YaHei"/>
          <w:i/>
          <w:color w:val="555555"/>
          <w:sz w:val="19"/>
        </w:rPr>
        <w:t>，且该 tag 之后的工作不进入提交件。</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w:t>
      </w:r>
      <w:r>
        <w:rPr>
          <w:rFonts w:ascii="Calibri" w:hAnsi="Calibri" w:eastAsia="Microsoft YaHei" w:cs="Microsoft YaHei"/>
          <w:b/>
          <w:i/>
          <w:color w:val="555555"/>
          <w:sz w:val="19"/>
        </w:rPr>
        <w:t>此处基线暂以占位形式保留，待 tag 建立后替换</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：本报告全部数字取自可复算脚本的实测输出，不含估算，不含对既往设计稿预期值的沿用。凡同一量存在多个口径，一律采用更稳的口径并注明。  </w:t>
      </w:r>
      <w:r>
        <w:rPr>
          <w:rFonts w:ascii="Calibri" w:hAnsi="Calibri" w:eastAsia="Microsoft YaHei" w:cs="Microsoft YaHei"/>
          <w:b/>
          <w:i/>
          <w:color w:val="555555"/>
          <w:sz w:val="19"/>
        </w:rPr>
        <w:t>机制计数三元组（强制口径）</w:t>
      </w:r>
      <w:r>
        <w:rPr>
          <w:rFonts w:ascii="Calibri" w:hAnsi="Calibri" w:eastAsia="Microsoft YaHei" w:cs="Microsoft YaHei"/>
          <w:i/>
          <w:color w:val="555555"/>
          <w:sz w:val="19"/>
        </w:rPr>
        <w:t xml:space="preserve">：凡出现机制数量处，一律并列 </w:t>
      </w:r>
      <w:r>
        <w:rPr>
          <w:rFonts w:ascii="Calibri" w:hAnsi="Calibri" w:eastAsia="Microsoft YaHei" w:cs="Microsoft YaHei"/>
          <w:b/>
          <w:i/>
          <w:color w:val="555555"/>
          <w:sz w:val="19"/>
        </w:rPr>
        <w:t>登记 54 / 效果生产 2 / 成熟度 complete 9·partial 37·placeholder 8</w:t>
      </w:r>
      <w:r>
        <w:rPr>
          <w:rFonts w:ascii="Calibri" w:hAnsi="Calibri" w:eastAsia="Microsoft YaHei" w:cs="Microsoft YaHei"/>
          <w:i/>
          <w:color w:val="555555"/>
          <w:sz w:val="19"/>
        </w:rPr>
        <w:t xml:space="preserve">，以免"54"被读作"54 个机制都在运行"。复算命令 </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26,782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56 个测试文件 / 972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）。报告期内完成三篇支撑性论文的全部实验并形成完整稿，完成融合估计器的优化与落地，并建立后端指标的可复算门禁。三项主要结论为：难度线性归一化加权下的有效权重不稳定，改用分位公制后漂移由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2"/>
        <w:spacing w:before="120" w:after="80"/>
      </w:pPr>
      <w:r>
        <w:rPr>
          <w:rFonts w:ascii="Calibri" w:hAnsi="Calibri" w:eastAsia="Microsoft YaHei" w:cs="Microsoft YaHei"/>
          <w:sz w:val="27"/>
        </w:rPr>
        <w:t>1.1 范围与边界</w:t>
      </w:r>
    </w:p>
    <w:p>
      <w:pPr>
        <w:spacing w:after="120"/>
      </w:pPr>
      <w:r>
        <w:rPr>
          <w:rFonts w:ascii="Calibri" w:hAnsi="Calibri" w:eastAsia="Microsoft YaHei" w:cs="Microsoft YaHei"/>
          <w:sz w:val="21"/>
        </w:rPr>
        <w:t>本报告覆盖已完成的测量侧、静态侧与</w:t>
      </w:r>
      <w:r>
        <w:rPr>
          <w:rFonts w:ascii="Calibri" w:hAnsi="Calibri" w:eastAsia="Microsoft YaHei" w:cs="Microsoft YaHei"/>
          <w:b/>
          <w:sz w:val="21"/>
        </w:rPr>
        <w:t>部分因果侧</w:t>
      </w:r>
      <w:r>
        <w:rPr>
          <w:rFonts w:ascii="Calibri" w:hAnsi="Calibri" w:eastAsia="Microsoft YaHei" w:cs="Microsoft YaHei"/>
          <w:sz w:val="21"/>
        </w:rPr>
        <w:t>研究（离策略剂量—反应识别已按冻结识别策略 LF-CIS-2026-09-22 执行，结论为未检出内部最优、降级为关联性证据，详见 M1 §8.3），</w:t>
      </w:r>
      <w:r>
        <w:rPr>
          <w:rFonts w:ascii="Calibri" w:hAnsi="Calibri" w:eastAsia="Microsoft YaHei" w:cs="Microsoft YaHei"/>
          <w:b/>
          <w:sz w:val="21"/>
        </w:rPr>
        <w:t>不覆盖</w:t>
      </w:r>
      <w:r>
        <w:rPr>
          <w:rFonts w:ascii="Calibri" w:hAnsi="Calibri" w:eastAsia="Microsoft YaHei" w:cs="Microsoft YaHei"/>
          <w:sz w:val="21"/>
        </w:rPr>
        <w:t>人类被试实验与完整因果侧分解（E-value 与五前提正式排序检验未执行），后者在第 9 节列为未完成事项。报告不提出新的研究计划，计划性内容另见《博士学位论文研究计划》。</w:t>
      </w:r>
    </w:p>
    <w:p>
      <w:pPr>
        <w:pStyle w:val="Heading2"/>
        <w:spacing w:before="120" w:after="80"/>
      </w:pPr>
      <w:r>
        <w:rPr>
          <w:rFonts w:ascii="Calibri" w:hAnsi="Calibri" w:eastAsia="Microsoft YaHei" w:cs="Microsoft YaHei"/>
          <w:sz w:val="27"/>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2"/>
        <w:spacing w:before="120" w:after="80"/>
      </w:pPr>
      <w:r>
        <w:rPr>
          <w:rFonts w:ascii="Calibri" w:hAnsi="Calibri" w:eastAsia="Microsoft YaHei" w:cs="Microsoft YaHei"/>
          <w:sz w:val="27"/>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2"/>
        <w:spacing w:before="120" w:after="80"/>
      </w:pPr>
      <w:r>
        <w:rPr>
          <w:rFonts w:ascii="Calibri" w:hAnsi="Calibri" w:eastAsia="Microsoft YaHei" w:cs="Microsoft YaHei"/>
          <w:sz w:val="27"/>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26,782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59</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docs/LearnFlow_期刊论文拆分方案.md</w:t>
      </w:r>
      <w:r>
        <w:rPr>
          <w:rFonts w:ascii="Calibri" w:hAnsi="Calibri" w:eastAsia="Microsoft YaHei" w:cs="Microsoft YaHei"/>
          <w:i/>
          <w:color w:val="555555"/>
          <w:sz w:val="19"/>
        </w:rPr>
        <w:t xml:space="preserve"> §1 的资产句。  - </w:t>
      </w:r>
      <w:r>
        <w:rPr>
          <w:rFonts w:ascii="Calibri" w:hAnsi="Calibri" w:eastAsia="Microsoft YaHei" w:cs="Microsoft YaHei"/>
          <w:b/>
          <w:i/>
          <w:color w:val="555555"/>
          <w:sz w:val="19"/>
        </w:rPr>
        <w:t>当前状态（2026-09-22 实测）</w:t>
      </w:r>
      <w:r>
        <w:rPr>
          <w:rFonts w:ascii="Calibri" w:hAnsi="Calibri" w:eastAsia="Microsoft YaHei" w:cs="Microsoft YaHei"/>
          <w:i/>
          <w:color w:val="555555"/>
          <w:sz w:val="19"/>
        </w:rPr>
        <w:t xml:space="preserve">：该句登记的是实测值 </w:t>
      </w:r>
      <w:r>
        <w:rPr>
          <w:rFonts w:ascii="Calibri" w:hAnsi="Calibri" w:eastAsia="Microsoft YaHei" w:cs="Microsoft YaHei"/>
          <w:b/>
          <w:i/>
          <w:color w:val="555555"/>
          <w:sz w:val="19"/>
        </w:rPr>
        <w:t>26,782 行 / 59 服务模块 / 92 源文件 / 104 API 端点 / 972 项测试（56 个测试文件）</w:t>
      </w:r>
      <w:r>
        <w:rPr>
          <w:rFonts w:ascii="Calibri" w:hAnsi="Calibri" w:eastAsia="Microsoft YaHei" w:cs="Microsoft YaHei"/>
          <w:i/>
          <w:color w:val="555555"/>
          <w:sz w:val="19"/>
        </w:rPr>
        <w:t>，与代码事实</w:t>
      </w:r>
      <w:r>
        <w:rPr>
          <w:rFonts w:ascii="Calibri" w:hAnsi="Calibri" w:eastAsia="Microsoft YaHei" w:cs="Microsoft YaHei"/>
          <w:b/>
          <w:i/>
          <w:color w:val="555555"/>
          <w:sz w:val="19"/>
        </w:rPr>
        <w:t>逐项一致</w:t>
      </w:r>
      <w:r>
        <w:rPr>
          <w:rFonts w:ascii="Calibri" w:hAnsi="Calibri" w:eastAsia="Microsoft YaHei" w:cs="Microsoft YaHei"/>
          <w:i/>
          <w:color w:val="555555"/>
          <w:sz w:val="19"/>
        </w:rPr>
        <w:t>，因此该命令</w:t>
      </w:r>
      <w:r>
        <w:rPr>
          <w:rFonts w:ascii="Calibri" w:hAnsi="Calibri" w:eastAsia="Microsoft YaHei" w:cs="Microsoft YaHei"/>
          <w:b/>
          <w:i/>
          <w:color w:val="555555"/>
          <w:sz w:val="19"/>
        </w:rPr>
        <w:t>返回退出码 0（通过）</w:t>
      </w:r>
      <w:r>
        <w:rPr>
          <w:rFonts w:ascii="Calibri" w:hAnsi="Calibri" w:eastAsia="Microsoft YaHei" w:cs="Microsoft YaHei"/>
          <w:i/>
          <w:color w:val="555555"/>
          <w:sz w:val="19"/>
        </w:rPr>
        <w:t xml:space="preserve">。v1.0 报告的"当前返回退出码 1"对应的是一句登记 </w:t>
      </w:r>
      <w:r>
        <w:rPr>
          <w:rFonts w:ascii="Calibri" w:hAnsi="Calibri" w:eastAsia="Microsoft YaHei" w:cs="Microsoft YaHei"/>
          <w:b/>
          <w:i/>
          <w:color w:val="555555"/>
          <w:sz w:val="19"/>
        </w:rPr>
        <w:t>25,389 / 54 / 87 / 104 / 920（53 测试文件）</w:t>
      </w:r>
      <w:r>
        <w:rPr>
          <w:rFonts w:ascii="Calibri" w:hAnsi="Calibri" w:eastAsia="Microsoft YaHei" w:cs="Microsoft YaHei"/>
          <w:i/>
          <w:color w:val="555555"/>
          <w:sz w:val="19"/>
        </w:rPr>
        <w:t xml:space="preserve"> 的早期快照，该快照已在本次整改中与实测对齐。 - </w:t>
      </w:r>
      <w:r>
        <w:rPr>
          <w:rFonts w:ascii="Calibri" w:hAnsi="Calibri" w:eastAsia="Microsoft YaHei" w:cs="Microsoft YaHei"/>
          <w:b/>
          <w:i/>
          <w:color w:val="555555"/>
          <w:sz w:val="19"/>
        </w:rPr>
        <w:t>漂移证据并未消失，只是换了位置</w:t>
      </w:r>
      <w:r>
        <w:rPr>
          <w:rFonts w:ascii="Calibri" w:hAnsi="Calibri" w:eastAsia="Microsoft YaHei" w:cs="Microsoft YaHei"/>
          <w:i/>
          <w:color w:val="555555"/>
          <w:sz w:val="19"/>
        </w:rPr>
        <w:t>：</w:t>
      </w:r>
      <w:r>
        <w:rPr>
          <w:rFonts w:ascii="Calibri" w:hAnsi="Calibri" w:eastAsia="Microsoft YaHei" w:cs="Microsoft YaHei"/>
          <w:b/>
          <w:i/>
          <w:color w:val="555555"/>
          <w:sz w:val="19"/>
        </w:rPr>
        <w:t>审计时点的登记基线</w:t>
      </w:r>
      <w:r>
        <w:rPr>
          <w:rFonts w:ascii="Calibri" w:hAnsi="Calibri" w:eastAsia="Microsoft YaHei" w:cs="Microsoft YaHei"/>
          <w:i/>
          <w:color w:val="555555"/>
          <w:sz w:val="19"/>
        </w:rPr>
        <w:t>（</w:t>
      </w:r>
      <w:r>
        <w:rPr>
          <w:rFonts w:ascii="Consolas" w:hAnsi="Consolas" w:eastAsia="Microsoft YaHei" w:cs="Microsoft YaHei"/>
          <w:i/>
          <w:color w:val="555555"/>
          <w:sz w:val="19"/>
        </w:rPr>
        <w:t>python_loc</w:t>
      </w:r>
      <w:r>
        <w:rPr>
          <w:rFonts w:ascii="Calibri" w:hAnsi="Calibri" w:eastAsia="Microsoft YaHei" w:cs="Microsoft YaHei"/>
          <w:i/>
          <w:color w:val="555555"/>
          <w:sz w:val="19"/>
        </w:rPr>
        <w:t xml:space="preserve"> 25,389 / </w:t>
      </w:r>
      <w:r>
        <w:rPr>
          <w:rFonts w:ascii="Consolas" w:hAnsi="Consolas" w:eastAsia="Microsoft YaHei" w:cs="Microsoft YaHei"/>
          <w:i/>
          <w:color w:val="555555"/>
          <w:sz w:val="19"/>
        </w:rPr>
        <w:t>source_files</w:t>
      </w:r>
      <w:r>
        <w:rPr>
          <w:rFonts w:ascii="Calibri" w:hAnsi="Calibri" w:eastAsia="Microsoft YaHei" w:cs="Microsoft YaHei"/>
          <w:i/>
          <w:color w:val="555555"/>
          <w:sz w:val="19"/>
        </w:rPr>
        <w:t xml:space="preserve"> 87 / </w:t>
      </w:r>
      <w:r>
        <w:rPr>
          <w:rFonts w:ascii="Consolas" w:hAnsi="Consolas" w:eastAsia="Microsoft YaHei" w:cs="Microsoft YaHei"/>
          <w:i/>
          <w:color w:val="555555"/>
          <w:sz w:val="19"/>
        </w:rPr>
        <w:t>service_modules</w:t>
      </w:r>
      <w:r>
        <w:rPr>
          <w:rFonts w:ascii="Calibri" w:hAnsi="Calibri" w:eastAsia="Microsoft YaHei" w:cs="Microsoft YaHei"/>
          <w:i/>
          <w:color w:val="555555"/>
          <w:sz w:val="19"/>
        </w:rPr>
        <w:t xml:space="preserve"> 54 / </w:t>
      </w:r>
      <w:r>
        <w:rPr>
          <w:rFonts w:ascii="Consolas" w:hAnsi="Consolas" w:eastAsia="Microsoft YaHei" w:cs="Microsoft YaHei"/>
          <w:i/>
          <w:color w:val="555555"/>
          <w:sz w:val="19"/>
        </w:rPr>
        <w:t>test_files</w:t>
      </w:r>
      <w:r>
        <w:rPr>
          <w:rFonts w:ascii="Calibri" w:hAnsi="Calibri" w:eastAsia="Microsoft YaHei" w:cs="Microsoft YaHei"/>
          <w:i/>
          <w:color w:val="555555"/>
          <w:sz w:val="19"/>
        </w:rPr>
        <w:t xml:space="preserve"> 53 / </w:t>
      </w:r>
      <w:r>
        <w:rPr>
          <w:rFonts w:ascii="Consolas" w:hAnsi="Consolas" w:eastAsia="Microsoft YaHei" w:cs="Microsoft YaHei"/>
          <w:i/>
          <w:color w:val="555555"/>
          <w:sz w:val="19"/>
        </w:rPr>
        <w:t>test_functions</w:t>
      </w:r>
      <w:r>
        <w:rPr>
          <w:rFonts w:ascii="Calibri" w:hAnsi="Calibri" w:eastAsia="Microsoft YaHei" w:cs="Microsoft YaHei"/>
          <w:i/>
          <w:color w:val="555555"/>
          <w:sz w:val="19"/>
        </w:rPr>
        <w:t xml:space="preserve"> 826 / </w:t>
      </w:r>
      <w:r>
        <w:rPr>
          <w:rFonts w:ascii="Consolas" w:hAnsi="Consolas" w:eastAsia="Microsoft YaHei" w:cs="Microsoft YaHei"/>
          <w:i/>
          <w:color w:val="555555"/>
          <w:sz w:val="19"/>
        </w:rPr>
        <w:t>tests_collected</w:t>
      </w:r>
      <w:r>
        <w:rPr>
          <w:rFonts w:ascii="Calibri" w:hAnsi="Calibri" w:eastAsia="Microsoft YaHei" w:cs="Microsoft YaHei"/>
          <w:i/>
          <w:color w:val="555555"/>
          <w:sz w:val="19"/>
        </w:rPr>
        <w:t xml:space="preserve"> 920）以</w:t>
      </w:r>
      <w:r>
        <w:rPr>
          <w:rFonts w:ascii="Calibri" w:hAnsi="Calibri" w:eastAsia="Microsoft YaHei" w:cs="Microsoft YaHei"/>
          <w:b/>
          <w:i/>
          <w:color w:val="555555"/>
          <w:sz w:val="19"/>
        </w:rPr>
        <w:t>硬编码登记表</w:t>
      </w:r>
      <w:r>
        <w:rPr>
          <w:rFonts w:ascii="Calibri" w:hAnsi="Calibri" w:eastAsia="Microsoft YaHei" w:cs="Microsoft YaHei"/>
          <w:i/>
          <w:color w:val="555555"/>
          <w:sz w:val="19"/>
        </w:rPr>
        <w:t xml:space="preserve">的形式保存在 </w:t>
      </w:r>
      <w:r>
        <w:rPr>
          <w:rFonts w:ascii="Consolas" w:hAnsi="Consolas" w:eastAsia="Microsoft YaHei" w:cs="Microsoft YaHei"/>
          <w:i/>
          <w:color w:val="555555"/>
          <w:sz w:val="19"/>
        </w:rPr>
        <w:t>verify_asset_numbers.py</w:t>
      </w:r>
      <w:r>
        <w:rPr>
          <w:rFonts w:ascii="Calibri" w:hAnsi="Calibri" w:eastAsia="Microsoft YaHei" w:cs="Microsoft YaHei"/>
          <w:i/>
          <w:color w:val="555555"/>
          <w:sz w:val="19"/>
        </w:rPr>
        <w:t xml:space="preserve"> 中，每次运行都在"登记比对"段以 </w:t>
      </w:r>
      <w:r>
        <w:rPr>
          <w:rFonts w:ascii="Consolas" w:hAnsi="Consolas" w:eastAsia="Microsoft YaHei" w:cs="Microsoft YaHei"/>
          <w:i/>
          <w:color w:val="555555"/>
          <w:sz w:val="19"/>
        </w:rPr>
        <w:t>informative / drifted</w:t>
      </w:r>
      <w:r>
        <w:rPr>
          <w:rFonts w:ascii="Calibri" w:hAnsi="Calibri" w:eastAsia="Microsoft YaHei" w:cs="Microsoft YaHei"/>
          <w:i/>
          <w:color w:val="555555"/>
          <w:sz w:val="19"/>
        </w:rPr>
        <w:t xml:space="preserve"> 级别</w:t>
      </w:r>
      <w:r>
        <w:rPr>
          <w:rFonts w:ascii="Calibri" w:hAnsi="Calibri" w:eastAsia="Microsoft YaHei" w:cs="Microsoft YaHei"/>
          <w:b/>
          <w:i/>
          <w:color w:val="555555"/>
          <w:sz w:val="19"/>
        </w:rPr>
        <w:t>逐项并列实测值</w:t>
      </w:r>
      <w:r>
        <w:rPr>
          <w:rFonts w:ascii="Calibri" w:hAnsi="Calibri" w:eastAsia="Microsoft YaHei" w:cs="Microsoft YaHei"/>
          <w:i/>
          <w:color w:val="555555"/>
          <w:sz w:val="19"/>
        </w:rPr>
        <w:t xml:space="preserve">（落盘于 </w:t>
      </w:r>
      <w:r>
        <w:rPr>
          <w:rFonts w:ascii="Consolas" w:hAnsi="Consolas" w:eastAsia="Microsoft YaHei" w:cs="Microsoft YaHei"/>
          <w:i/>
          <w:color w:val="555555"/>
          <w:sz w:val="19"/>
        </w:rPr>
        <w:t>artifacts/asset_numbers.json</w:t>
      </w:r>
      <w:r>
        <w:rPr>
          <w:rFonts w:ascii="Calibri" w:hAnsi="Calibri" w:eastAsia="Microsoft YaHei" w:cs="Microsoft YaHei"/>
          <w:i/>
          <w:color w:val="555555"/>
          <w:sz w:val="19"/>
        </w:rPr>
        <w:t xml:space="preserve">）。论文二第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2"/>
        <w:spacing w:before="120" w:after="80"/>
      </w:pPr>
      <w:r>
        <w:rPr>
          <w:rFonts w:ascii="Calibri" w:hAnsi="Calibri" w:eastAsia="Microsoft YaHei" w:cs="Microsoft YaHei"/>
          <w:sz w:val="27"/>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1"/>
        <w:spacing w:before="200" w:after="80"/>
      </w:pPr>
      <w:r>
        <w:rPr>
          <w:rFonts w:ascii="Calibri" w:hAnsi="Calibri" w:eastAsia="Microsoft YaHei" w:cs="Microsoft YaHei"/>
          <w:sz w:val="32"/>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2"/>
        <w:spacing w:before="120" w:after="80"/>
      </w:pPr>
      <w:r>
        <w:rPr>
          <w:rFonts w:ascii="Calibri" w:hAnsi="Calibri" w:eastAsia="Microsoft YaHei" w:cs="Microsoft YaHei"/>
          <w:sz w:val="27"/>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2"/>
        <w:spacing w:before="120" w:after="80"/>
      </w:pPr>
      <w:r>
        <w:rPr>
          <w:rFonts w:ascii="Calibri" w:hAnsi="Calibri" w:eastAsia="Microsoft YaHei" w:cs="Microsoft YaHei"/>
          <w:sz w:val="27"/>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2"/>
        <w:spacing w:before="120" w:after="80"/>
      </w:pPr>
      <w:r>
        <w:rPr>
          <w:rFonts w:ascii="Calibri" w:hAnsi="Calibri" w:eastAsia="Microsoft YaHei" w:cs="Microsoft YaHei"/>
          <w:sz w:val="27"/>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2"/>
        <w:spacing w:before="120" w:after="80"/>
      </w:pPr>
      <w:r>
        <w:rPr>
          <w:rFonts w:ascii="Calibri" w:hAnsi="Calibri" w:eastAsia="Microsoft YaHei" w:cs="Microsoft YaHei"/>
          <w:sz w:val="27"/>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2"/>
        <w:spacing w:before="120" w:after="80"/>
      </w:pPr>
      <w:r>
        <w:rPr>
          <w:rFonts w:ascii="Calibri" w:hAnsi="Calibri" w:eastAsia="Microsoft YaHei" w:cs="Microsoft YaHei"/>
          <w:sz w:val="27"/>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2"/>
        <w:spacing w:before="120" w:after="80"/>
      </w:pPr>
      <w:r>
        <w:rPr>
          <w:rFonts w:ascii="Calibri" w:hAnsi="Calibri" w:eastAsia="Microsoft YaHei" w:cs="Microsoft YaHei"/>
          <w:sz w:val="27"/>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2"/>
        <w:spacing w:before="120" w:after="80"/>
      </w:pPr>
      <w:r>
        <w:rPr>
          <w:rFonts w:ascii="Calibri" w:hAnsi="Calibri" w:eastAsia="Microsoft YaHei" w:cs="Microsoft YaHei"/>
          <w:sz w:val="27"/>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：错误率 0.25（</w:t>
      </w:r>
      <w:r>
        <w:rPr>
          <w:rFonts w:ascii="Calibri" w:hAnsi="Calibri" w:eastAsia="Microsoft YaHei" w:cs="Microsoft YaHei"/>
          <w:b/>
          <w:sz w:val="21"/>
        </w:rPr>
        <w:t>30,899</w:t>
      </w:r>
      <w:r>
        <w:rPr>
          <w:rFonts w:ascii="Calibri" w:hAnsi="Calibri" w:eastAsia="Microsoft YaHei" w:cs="Microsoft YaHei"/>
          <w:sz w:val="21"/>
        </w:rPr>
        <w:t xml:space="preserve"> 窗）多于错误率 0.15 与 0.20 各自（</w:t>
      </w:r>
      <w:r>
        <w:rPr>
          <w:rFonts w:ascii="Calibri" w:hAnsi="Calibri" w:eastAsia="Microsoft YaHei" w:cs="Microsoft YaHei"/>
          <w:b/>
          <w:sz w:val="21"/>
        </w:rPr>
        <w:t>2026-09-29 更正</w:t>
      </w:r>
      <w:r>
        <w:rPr>
          <w:rFonts w:ascii="Calibri" w:hAnsi="Calibri" w:eastAsia="Microsoft YaHei" w:cs="Microsoft YaHei"/>
          <w:sz w:val="21"/>
        </w:rPr>
        <w:t xml:space="preserve">：精确值为 0.20 = </w:t>
      </w:r>
      <w:r>
        <w:rPr>
          <w:rFonts w:ascii="Calibri" w:hAnsi="Calibri" w:eastAsia="Microsoft YaHei" w:cs="Microsoft YaHei"/>
          <w:b/>
          <w:sz w:val="21"/>
        </w:rPr>
        <w:t>30,061</w:t>
      </w:r>
      <w:r>
        <w:rPr>
          <w:rFonts w:ascii="Calibri" w:hAnsi="Calibri" w:eastAsia="Microsoft YaHei" w:cs="Microsoft YaHei"/>
          <w:sz w:val="21"/>
        </w:rPr>
        <w:t xml:space="preserve"> 窗、0.15 = </w:t>
      </w:r>
      <w:r>
        <w:rPr>
          <w:rFonts w:ascii="Calibri" w:hAnsi="Calibri" w:eastAsia="Microsoft YaHei" w:cs="Microsoft YaHei"/>
          <w:b/>
          <w:sz w:val="21"/>
        </w:rPr>
        <w:t>26,151</w:t>
      </w:r>
      <w:r>
        <w:rPr>
          <w:rFonts w:ascii="Calibri" w:hAnsi="Calibri" w:eastAsia="Microsoft YaHei" w:cs="Microsoft YaHei"/>
          <w:sz w:val="21"/>
        </w:rPr>
        <w:t xml:space="preserve"> 窗；此前的 30,074 / 26,138 系由 </w:t>
      </w:r>
      <w:r>
        <w:rPr>
          <w:rFonts w:ascii="Consolas" w:hAnsi="Consolas" w:eastAsia="Microsoft YaHei" w:cs="Microsoft YaHei"/>
          <w:sz w:val="21"/>
        </w:rPr>
        <w:t>share_err_in_17_23pct</w:t>
      </w:r>
      <w:r>
        <w:rPr>
          <w:rFonts w:ascii="Calibri" w:hAnsi="Calibri" w:eastAsia="Microsoft YaHei" w:cs="Microsoft YaHei"/>
          <w:sz w:val="21"/>
        </w:rPr>
        <w:t xml:space="preserve"> 反推所得，现已有精确值，按第二次更正表替换）。 </w:t>
      </w:r>
      <w:r>
        <w:rPr>
          <w:rFonts w:ascii="Calibri" w:hAnsi="Calibri" w:eastAsia="Microsoft YaHei" w:cs="Microsoft YaHei"/>
          <w:b/>
          <w:sz w:val="21"/>
        </w:rPr>
        <w:t>须并列（审阅意见 3.3）</w:t>
      </w:r>
      <w:r>
        <w:rPr>
          <w:rFonts w:ascii="Calibri" w:hAnsi="Calibri" w:eastAsia="Microsoft YaHei" w:cs="Microsoft YaHei"/>
          <w:sz w:val="21"/>
        </w:rPr>
        <w:t>：</w:t>
      </w:r>
      <w:r>
        <w:rPr>
          <w:rFonts w:ascii="Calibri" w:hAnsi="Calibri" w:eastAsia="Microsoft YaHei" w:cs="Microsoft YaHei"/>
          <w:b/>
          <w:sz w:val="21"/>
        </w:rPr>
        <w:t>众数不是最优值</w:t>
      </w:r>
      <w:r>
        <w:rPr>
          <w:rFonts w:ascii="Calibri" w:hAnsi="Calibri" w:eastAsia="Microsoft YaHei" w:cs="Microsoft YaHei"/>
          <w:sz w:val="21"/>
        </w:rPr>
        <w:t>。本节只说明「80–85% 是众数」这一描述性说法不成立，</w:t>
      </w:r>
      <w:r>
        <w:rPr>
          <w:rFonts w:ascii="Calibri" w:hAnsi="Calibri" w:eastAsia="Microsoft YaHei" w:cs="Microsoft YaHei"/>
          <w:b/>
          <w:sz w:val="21"/>
        </w:rPr>
        <w:t>不对 85% 规则（15.87%）或先行研究的 80.7% 作任何方向的支持或反驳判定</w:t>
      </w:r>
      <w:r>
        <w:rPr>
          <w:rFonts w:ascii="Calibri" w:hAnsi="Calibri" w:eastAsia="Microsoft YaHei" w:cs="Microsoft YaHei"/>
          <w:sz w:val="21"/>
        </w:rPr>
        <w:t>；本分布是「所经历难度」的描述性分布，不是对最优值的检验。</w:t>
      </w:r>
    </w:p>
    <w:p>
      <w:pPr>
        <w:pStyle w:val="ListNumber"/>
        <w:spacing w:after="40"/>
      </w:pPr>
      <w:r>
        <w:rPr>
          <w:rFonts w:ascii="Calibri" w:hAnsi="Calibri" w:eastAsia="Microsoft YaHei" w:cs="Microsoft YaHei"/>
          <w:b/>
          <w:sz w:val="21"/>
        </w:rPr>
        <w:t>旧稿"与 85% 规则的 15.87% 和先行研究的 80.7% 均相容"一句已撤回</w:t>
      </w:r>
      <w:r>
        <w:rPr>
          <w:rFonts w:ascii="Calibri" w:hAnsi="Calibri" w:eastAsia="Microsoft YaHei" w:cs="Microsoft YaHei"/>
          <w:sz w:val="21"/>
        </w:rPr>
        <w:t>——该句建立在伪影之上；</w:t>
      </w:r>
      <w:r>
        <w:rPr>
          <w:rFonts w:ascii="Calibri" w:hAnsi="Calibri" w:eastAsia="Microsoft YaHei" w:cs="Microsoft YaHei"/>
          <w:b/>
          <w:sz w:val="21"/>
        </w:rPr>
        <w:t>且按审阅 3.3，本分布是所经历难度的分布、不是对最优值的检验，故对 85% 规则与 80.7% 既不能断言相容、也不能断言不相容</w:t>
      </w:r>
      <w:r>
        <w:rPr>
          <w:rFonts w:ascii="Calibri" w:hAnsi="Calibri" w:eastAsia="Microsoft YaHei" w:cs="Microsoft YaHei"/>
          <w:sz w:val="21"/>
        </w:rPr>
        <w:t>。分布的单值众数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原设计的双重稳健（AIPW/DR）离策略评估与剂量—反应曲线拟合（按冻结识别策略 LF-CIS-2026-09-22 执行，剂量取原始错误条数口径，非原预注册前向标定版本）</w:t>
      </w:r>
      <w:r>
        <w:rPr>
          <w:rFonts w:ascii="Calibri" w:hAnsi="Calibri" w:eastAsia="Microsoft YaHei" w:cs="Microsoft YaHei"/>
          <w:b/>
          <w:sz w:val="21"/>
        </w:rPr>
        <w:t>已于 2026-09-24 执行，但未通过预注册的阳性对照标准，且实现与冻结文档（LF-CIS-2026-09-22）不一致，故其结果不可解释</w:t>
      </w:r>
      <w:r>
        <w:rPr>
          <w:rFonts w:ascii="Calibri" w:hAnsi="Calibri" w:eastAsia="Microsoft YaHei" w:cs="Microsoft YaHei"/>
          <w:sz w:val="21"/>
        </w:rPr>
        <w:t>，本稿不作确认性解读；因果侧已从 M1 拆出，转入计划书 §7.1 节表第 4 行的第四篇论文（详见 M1 §8.2）。其余两项——非单调性检验与五前提正式排序检验——</w:t>
      </w:r>
      <w:r>
        <w:rPr>
          <w:rFonts w:ascii="Calibri" w:hAnsi="Calibri" w:eastAsia="Microsoft YaHei" w:cs="Microsoft YaHei"/>
          <w:b/>
          <w:sz w:val="21"/>
        </w:rPr>
        <w:t>仍未执行</w:t>
      </w:r>
      <w:r>
        <w:rPr>
          <w:rFonts w:ascii="Calibri" w:hAnsi="Calibri" w:eastAsia="Microsoft YaHei" w:cs="Microsoft YaHei"/>
          <w:sz w:val="21"/>
        </w:rPr>
        <w:t>，详见第 9 节。</w:t>
      </w:r>
      <w:r>
        <w:rPr>
          <w:rFonts w:ascii="Calibri" w:hAnsi="Calibri" w:eastAsia="Microsoft YaHei" w:cs="Microsoft YaHei"/>
          <w:b/>
          <w:sz w:val="21"/>
        </w:rPr>
        <w:t>（时点提示：若最终提交 tag 早于 2026-09-24，按审阅 2.1②「tag 之后的工作不进入提交件」，本节应回退为「未执行」。)</w:t>
      </w:r>
      <w:r>
        <w:rPr>
          <w:rFonts w:ascii="Calibri" w:hAnsi="Calibri" w:eastAsia="Microsoft YaHei" w:cs="Microsoft YaHei"/>
          <w:sz w:val="21"/>
        </w:rPr>
        <w:t>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1"/>
        <w:spacing w:before="200" w:after="80"/>
      </w:pPr>
      <w:r>
        <w:rPr>
          <w:rFonts w:ascii="Calibri" w:hAnsi="Calibri" w:eastAsia="Microsoft YaHei" w:cs="Microsoft YaHei"/>
          <w:sz w:val="32"/>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2"/>
        <w:spacing w:before="120" w:after="80"/>
      </w:pPr>
      <w:r>
        <w:rPr>
          <w:rFonts w:ascii="Calibri" w:hAnsi="Calibri" w:eastAsia="Microsoft YaHei" w:cs="Microsoft YaHei"/>
          <w:sz w:val="27"/>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2"/>
        <w:spacing w:before="120" w:after="80"/>
      </w:pPr>
      <w:r>
        <w:rPr>
          <w:rFonts w:ascii="Calibri" w:hAnsi="Calibri" w:eastAsia="Microsoft YaHei" w:cs="Microsoft YaHei"/>
          <w:sz w:val="27"/>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2"/>
        <w:spacing w:before="120" w:after="80"/>
      </w:pPr>
      <w:r>
        <w:rPr>
          <w:rFonts w:ascii="Calibri" w:hAnsi="Calibri" w:eastAsia="Microsoft YaHei" w:cs="Microsoft YaHei"/>
          <w:sz w:val="27"/>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2"/>
        <w:spacing w:before="120" w:after="80"/>
      </w:pPr>
      <w:r>
        <w:rPr>
          <w:rFonts w:ascii="Calibri" w:hAnsi="Calibri" w:eastAsia="Microsoft YaHei" w:cs="Microsoft YaHei"/>
          <w:sz w:val="27"/>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2"/>
        <w:spacing w:before="120" w:after="80"/>
      </w:pPr>
      <w:r>
        <w:rPr>
          <w:rFonts w:ascii="Calibri" w:hAnsi="Calibri" w:eastAsia="Microsoft YaHei" w:cs="Microsoft YaHei"/>
          <w:sz w:val="27"/>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。本节及本报告全部相关表述已限定为"单一模型"。（</w:t>
      </w:r>
      <w:r>
        <w:rPr>
          <w:rFonts w:ascii="Calibri" w:hAnsi="Calibri" w:eastAsia="Microsoft YaHei" w:cs="Microsoft YaHei"/>
          <w:b/>
          <w:i/>
          <w:color w:val="555555"/>
          <w:sz w:val="19"/>
        </w:rPr>
        <w:t>2026-09-29 按审阅 §6.2② 更新</w:t>
      </w:r>
      <w:r>
        <w:rPr>
          <w:rFonts w:ascii="Calibri" w:hAnsi="Calibri" w:eastAsia="Microsoft YaHei" w:cs="Microsoft YaHei"/>
          <w:i/>
          <w:color w:val="555555"/>
          <w:sz w:val="19"/>
        </w:rPr>
        <w:t>：M3 已补齐</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 4 族 × 3 档共 11 个单元格的标注矩阵，标题口径随之由「单一模型」改为「本地开放权重模型（≤47B、4 比特级量化）」；但仍</w:t>
      </w:r>
      <w:r>
        <w:rPr>
          <w:rFonts w:ascii="Calibri" w:hAnsi="Calibri" w:eastAsia="Microsoft YaHei" w:cs="Microsoft YaHei"/>
          <w:b/>
          <w:i/>
          <w:color w:val="555555"/>
          <w:sz w:val="19"/>
        </w:rPr>
        <w:t>不含前沿 API 模型</w:t>
      </w:r>
      <w:r>
        <w:rPr>
          <w:rFonts w:ascii="Calibri" w:hAnsi="Calibri" w:eastAsia="Microsoft YaHei" w:cs="Microsoft YaHei"/>
          <w:i/>
          <w:color w:val="555555"/>
          <w:sz w:val="19"/>
        </w:rPr>
        <w:t>，故仍</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上升为对「LLM」的一般性命题。）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在本地开放权重模型（4 族 × 3 档 11 格）上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2"/>
        <w:spacing w:before="120" w:after="80"/>
      </w:pPr>
      <w:r>
        <w:rPr>
          <w:rFonts w:ascii="Calibri" w:hAnsi="Calibri" w:eastAsia="Microsoft YaHei" w:cs="Microsoft YaHei"/>
          <w:sz w:val="27"/>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Bdr>
          <w:bottom w:val="single" w:sz="6" w:space="1" w:color="999999"/>
        </w:pBdr>
        <w:spacing w:after="40"/>
      </w:pPr>
    </w:p>
    <w:p>
      <w:pPr>
        <w:pStyle w:val="Heading1"/>
        <w:spacing w:before="200" w:after="80"/>
      </w:pPr>
      <w:r>
        <w:rPr>
          <w:rFonts w:ascii="Calibri" w:hAnsi="Calibri" w:eastAsia="Microsoft YaHei" w:cs="Microsoft YaHei"/>
          <w:sz w:val="32"/>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1"/>
        <w:spacing w:before="200" w:after="80"/>
      </w:pPr>
      <w:r>
        <w:rPr>
          <w:rFonts w:ascii="Calibri" w:hAnsi="Calibri" w:eastAsia="Microsoft YaHei" w:cs="Microsoft YaHei"/>
          <w:sz w:val="32"/>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2"/>
        <w:spacing w:before="120" w:after="80"/>
      </w:pPr>
      <w:r>
        <w:rPr>
          <w:rFonts w:ascii="Calibri" w:hAnsi="Calibri" w:eastAsia="Microsoft YaHei" w:cs="Microsoft YaHei"/>
          <w:sz w:val="27"/>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2"/>
        <w:spacing w:before="120" w:after="80"/>
      </w:pPr>
      <w:r>
        <w:rPr>
          <w:rFonts w:ascii="Calibri" w:hAnsi="Calibri" w:eastAsia="Microsoft YaHei" w:cs="Microsoft YaHei"/>
          <w:sz w:val="27"/>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972 collected / 972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26,782</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2"/>
        <w:spacing w:before="120" w:after="80"/>
      </w:pPr>
      <w:r>
        <w:rPr>
          <w:rFonts w:ascii="Calibri" w:hAnsi="Calibri" w:eastAsia="Microsoft YaHei" w:cs="Microsoft YaHei"/>
          <w:sz w:val="27"/>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最优错误率方面，本分布是</w:t>
            </w:r>
            <w:r>
              <w:rPr>
                <w:rFonts w:ascii="Calibri" w:hAnsi="Calibri" w:eastAsia="Microsoft YaHei" w:cs="Microsoft YaHei"/>
                <w:b/>
                <w:sz w:val="19"/>
              </w:rPr>
              <w:t>所经历难度的分布、不是对最优值的检验</w:t>
            </w:r>
            <w:r>
              <w:rPr>
                <w:rFonts w:ascii="Calibri" w:hAnsi="Calibri" w:eastAsia="Microsoft YaHei" w:cs="Microsoft YaHei"/>
                <w:sz w:val="19"/>
              </w:rPr>
              <w:t xml:space="preserve">；对 85% 规则（15.87%）与先行研究的 80.7% </w:t>
            </w:r>
            <w:r>
              <w:rPr>
                <w:rFonts w:ascii="Calibri" w:hAnsi="Calibri" w:eastAsia="Microsoft YaHei" w:cs="Microsoft YaHei"/>
                <w:b/>
                <w:sz w:val="19"/>
              </w:rPr>
              <w:t>什么都不能说</w:t>
            </w:r>
            <w:r>
              <w:rPr>
                <w:rFonts w:ascii="Calibri" w:hAnsi="Calibri" w:eastAsia="Microsoft YaHei" w:cs="Microsoft YaHei"/>
                <w:sz w:val="19"/>
              </w:rPr>
              <w:t xml:space="preserve">（审阅 3.3）。单值众数为 </w:t>
            </w:r>
            <w:r>
              <w:rPr>
                <w:rFonts w:ascii="Calibri" w:hAnsi="Calibri" w:eastAsia="Microsoft YaHei" w:cs="Microsoft YaHei"/>
                <w:b/>
                <w:sz w:val="19"/>
              </w:rPr>
              <w:t>75% 成功率</w:t>
            </w:r>
            <w:r>
              <w:rPr>
                <w:rFonts w:ascii="Calibri" w:hAnsi="Calibri" w:eastAsia="Microsoft YaHei" w:cs="Microsoft YaHei"/>
                <w:sz w:val="19"/>
              </w:rPr>
              <w:t>（错误率 0.25，30,899 窗）；80–85%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2"/>
        <w:spacing w:before="120" w:after="80"/>
      </w:pPr>
      <w:r>
        <w:rPr>
          <w:rFonts w:ascii="Calibri" w:hAnsi="Calibri" w:eastAsia="Microsoft YaHei" w:cs="Microsoft YaHei"/>
          <w:sz w:val="27"/>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2"/>
        <w:spacing w:before="120" w:after="80"/>
      </w:pPr>
      <w:r>
        <w:rPr>
          <w:rFonts w:ascii="Calibri" w:hAnsi="Calibri" w:eastAsia="Microsoft YaHei" w:cs="Microsoft YaHei"/>
          <w:sz w:val="27"/>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2"/>
        <w:spacing w:before="120" w:after="80"/>
      </w:pPr>
      <w:r>
        <w:rPr>
          <w:rFonts w:ascii="Calibri" w:hAnsi="Calibri" w:eastAsia="Microsoft YaHei" w:cs="Microsoft YaHei"/>
          <w:sz w:val="27"/>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2"/>
        <w:spacing w:before="120" w:after="80"/>
      </w:pPr>
      <w:r>
        <w:rPr>
          <w:rFonts w:ascii="Calibri" w:hAnsi="Calibri" w:eastAsia="Microsoft YaHei" w:cs="Microsoft YaHei"/>
          <w:sz w:val="27"/>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2"/>
        <w:spacing w:before="120" w:after="80"/>
      </w:pPr>
      <w:r>
        <w:rPr>
          <w:rFonts w:ascii="Calibri" w:hAnsi="Calibri" w:eastAsia="Microsoft YaHei" w:cs="Microsoft YaHei"/>
          <w:sz w:val="27"/>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2"/>
        <w:spacing w:before="120" w:after="80"/>
      </w:pPr>
      <w:r>
        <w:rPr>
          <w:rFonts w:ascii="Calibri" w:hAnsi="Calibri" w:eastAsia="Microsoft YaHei" w:cs="Microsoft YaHei"/>
          <w:sz w:val="27"/>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的目标期刊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w:t>
      </w:r>
      <w:r>
        <w:rPr>
          <w:rFonts w:ascii="Calibri" w:hAnsi="Calibri" w:eastAsia="Microsoft YaHei" w:cs="Microsoft YaHei"/>
          <w:b/>
          <w:sz w:val="21"/>
        </w:rPr>
        <w:t>已于 2026-09-29 按审阅 §5.4 撤下</w:t>
      </w:r>
      <w:r>
        <w:rPr>
          <w:rFonts w:ascii="Calibri" w:hAnsi="Calibri" w:eastAsia="Microsoft YaHei" w:cs="Microsoft YaHei"/>
          <w:sz w:val="21"/>
        </w:rPr>
        <w:t xml:space="preserve">（M2 已定为路线 B，改为学位论文治理章 + 短经验报告，不作期刊立项）；M3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第四篇稿件 M4（信度结构化组合难度估计，2026-09-27 新建）按审阅 §4.4 不作为独立稿件投出</w:t>
      </w:r>
      <w:r>
        <w:rPr>
          <w:rFonts w:ascii="Calibri" w:hAnsi="Calibri" w:eastAsia="Microsoft YaHei" w:cs="Microsoft YaHei"/>
          <w:sz w:val="21"/>
        </w:rPr>
        <w:t>：其经验部分与 M1 建立在相同缓存、相同 DBE 教师标签、相同 Junyi 标签、相同 B 块留出、相同 λ_cf 与相同 srw7 之上，且 M4-E 系看到失败后在同一批 212 题·同一标签·同一种子上做出的修正。是否并入 M1 作为方法部分的一节，或先在一个完全不同的数据集上做预先登记的确认性检验，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；在决定之前不给 M4 追加新实验。</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2"/>
        <w:spacing w:before="120" w:after="80"/>
      </w:pPr>
      <w:r>
        <w:rPr>
          <w:rFonts w:ascii="Calibri" w:hAnsi="Calibri" w:eastAsia="Microsoft YaHei" w:cs="Microsoft YaHei"/>
          <w:sz w:val="27"/>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已执行（2026-09-24，LF-CIS-2026-09-22 冻结识别策略；AIPW/DR + 剂量—反应，结论未检出内部最优、降级为关联性证据，详见 M1 §8.3）</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2"/>
        <w:spacing w:before="120" w:after="80"/>
      </w:pPr>
      <w:r>
        <w:rPr>
          <w:rFonts w:ascii="Calibri" w:hAnsi="Calibri" w:eastAsia="Microsoft YaHei" w:cs="Microsoft YaHei"/>
          <w:sz w:val="27"/>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2"/>
        <w:spacing w:before="120" w:after="80"/>
      </w:pPr>
      <w:r>
        <w:rPr>
          <w:rFonts w:ascii="Calibri" w:hAnsi="Calibri" w:eastAsia="Microsoft YaHei" w:cs="Microsoft YaHei"/>
          <w:sz w:val="27"/>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2"/>
        <w:spacing w:before="120" w:after="80"/>
      </w:pPr>
      <w:r>
        <w:rPr>
          <w:rFonts w:ascii="Calibri" w:hAnsi="Calibri" w:eastAsia="Microsoft YaHei" w:cs="Microsoft YaHei"/>
          <w:sz w:val="27"/>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1"/>
        <w:spacing w:before="200" w:after="80"/>
      </w:pPr>
      <w:r>
        <w:rPr>
          <w:rFonts w:ascii="Calibri" w:hAnsi="Calibri" w:eastAsia="Microsoft YaHei" w:cs="Microsoft YaHei"/>
          <w:sz w:val="32"/>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92 个文件 / 26,782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59</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56 个测试文件 / 972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1"/>
        <w:spacing w:before="200" w:after="80"/>
      </w:pPr>
      <w:r>
        <w:rPr>
          <w:rFonts w:ascii="Calibri" w:hAnsi="Calibri" w:eastAsia="Microsoft YaHei" w:cs="Microsoft YaHei"/>
          <w:sz w:val="32"/>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