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Times New Roman" w:cs="Times New Roman"/>
          <w:sz w:val="44"/>
        </w:rPr>
        <w:t>Commensurability of Difficulty Scales: An Instability Proposition and Its Test on assist09</w:t>
      </w:r>
    </w:p>
    <w:p/>
    <w:p>
      <w:pPr>
        <w:spacing w:after="120"/>
      </w:pPr>
      <w:r>
        <w:rPr>
          <w:rFonts w:ascii="Calibri" w:hAnsi="Calibri" w:eastAsia="Times New Roman" w:cs="Times New Roman"/>
          <w:sz w:val="21"/>
        </w:rPr>
        <w:t>Zexiao Weng¹</w:t>
      </w:r>
    </w:p>
    <w:p>
      <w:pPr>
        <w:spacing w:after="120"/>
      </w:pPr>
      <w:r>
        <w:rPr>
          <w:rFonts w:ascii="Calibri" w:hAnsi="Calibri" w:eastAsia="Times New Roman" w:cs="Times New Roman"/>
          <w:sz w:val="21"/>
        </w:rPr>
        <w:t>¹ Youngsan University, Busan 48015, Republic of Korea</w:t>
      </w:r>
    </w:p>
    <w:p>
      <w:pPr>
        <w:spacing w:after="120"/>
      </w:pPr>
      <w:r>
        <w:rPr>
          <w:rFonts w:ascii="Calibri" w:hAnsi="Calibri" w:eastAsia="Times New Roman" w:cs="Times New Roman"/>
          <w:sz w:val="21"/>
        </w:rPr>
        <w:t>Corresponding author: to be assigned on approval of the final manuscript. ORCID: 0009-0009-8600-8954.</w:t>
      </w:r>
    </w:p>
    <w:p>
      <w:pPr>
        <w:spacing w:before="40" w:after="40"/>
        <w:ind w:left="360"/>
        <w:pBdr>
          <w:left w:val="single" w:sz="12" w:space="6" w:color="888888"/>
        </w:pBdr>
      </w:pPr>
      <w:r>
        <w:rPr>
          <w:rFonts w:ascii="Calibri" w:hAnsi="Calibri" w:eastAsia="Times New Roman" w:cs="Times New Roman"/>
          <w:b/>
          <w:i/>
          <w:color w:val="555555"/>
          <w:sz w:val="19"/>
        </w:rPr>
        <w:t>Byline and corresponding-author fields withheld pending approval (supervisor review items 2.4③ and §10, 2026-09-29).</w:t>
      </w:r>
      <w:r>
        <w:rPr>
          <w:rFonts w:ascii="Calibri" w:hAnsi="Calibri" w:eastAsia="Times New Roman" w:cs="Times New Roman"/>
          <w:i/>
          <w:color w:val="555555"/>
          <w:sz w:val="19"/>
        </w:rPr>
        <w:t xml:space="preserve"> This manuscript previously carried a second author and a named corresponding author (name, email and ORCID). Under the supervisor's review those fields must not appear in the submission, the Zenodo contributor list, or the AI-use statement until the corresponding author has read and approved the final manuscript. The corresponding author has agreed to serve in that role; the byline, the corresponding-author contact, and the contributor list will be restored in the manner they consent to once the final version is approved.</w:t>
      </w:r>
    </w:p>
    <w:p>
      <w:pPr>
        <w:spacing w:after="120"/>
      </w:pPr>
      <w:r>
        <w:rPr>
          <w:rFonts w:ascii="Calibri" w:hAnsi="Calibri" w:eastAsia="Times New Roman" w:cs="Times New Roman"/>
          <w:sz w:val="21"/>
        </w:rPr>
        <w:t xml:space="preserve">AI-Assisted Writing Disclosure. This manuscript was prepared with the assistance of large language models (LLMs) and AI coding agents. These tools were used, to varying extents, for: (i) generating and editing analysis scripts; (ii) executing and re-running experiments; (iii) drafting, translating and polishing manuscript text; (iv) drafting internal revision-tracking documents. The claim made in an earlier version of this disclosure — that the LLM "was used strictly as a language-polishing and drafting aid" and that no LLM participated in analytical, statistical or experimental work — </w:t>
      </w:r>
      <w:r>
        <w:rPr>
          <w:rFonts w:ascii="Calibri" w:hAnsi="Calibri" w:eastAsia="Times New Roman" w:cs="Times New Roman"/>
          <w:b/>
          <w:sz w:val="21"/>
        </w:rPr>
        <w:t>has been withdrawn</w:t>
      </w:r>
      <w:r>
        <w:rPr>
          <w:rFonts w:ascii="Calibri" w:hAnsi="Calibri" w:eastAsia="Times New Roman" w:cs="Times New Roman"/>
          <w:sz w:val="21"/>
        </w:rPr>
        <w:t xml:space="preserve">, because it is not consistent with the traces visible in the accompanying repository (supervisor's review §2.3, 2026-09-29). The per-task division of work between the author and these tools, and the scope of the author's own verification of each tool output, is recorded by the author in the role-and-tools table of the dissertation proposal (§10.1) and will be stated here in its final form before submission. The corresponding author has </w:t>
      </w:r>
      <w:r>
        <w:rPr>
          <w:rFonts w:ascii="Calibri" w:hAnsi="Calibri" w:eastAsia="Times New Roman" w:cs="Times New Roman"/>
          <w:b/>
          <w:sz w:val="21"/>
        </w:rPr>
        <w:t>not</w:t>
      </w:r>
      <w:r>
        <w:rPr>
          <w:rFonts w:ascii="Calibri" w:hAnsi="Calibri" w:eastAsia="Times New Roman" w:cs="Times New Roman"/>
          <w:sz w:val="21"/>
        </w:rPr>
        <w:t xml:space="preserve"> yet reviewed and approved this disclosure; accordingly, and per review §10, the corresponding author's name is withheld from this manuscript until the final version is approved. All numerical results reported here were produced by the scripts in the accompanying repository and are reproducible from them.</w:t>
      </w:r>
    </w:p>
    <w:p>
      <w:pPr>
        <w:spacing w:after="120"/>
      </w:pPr>
      <w:r>
        <w:rPr>
          <w:rFonts w:ascii="Calibri" w:hAnsi="Calibri" w:eastAsia="Times New Roman" w:cs="Times New Roman"/>
          <w:b/>
          <w:sz w:val="21"/>
        </w:rPr>
        <w:t>Numeric baseline (review §2.1).</w:t>
      </w:r>
      <w:r>
        <w:rPr>
          <w:rFonts w:ascii="Calibri" w:hAnsi="Calibri" w:eastAsia="Times New Roman" w:cs="Times New Roman"/>
          <w:sz w:val="21"/>
        </w:rPr>
        <w:t xml:space="preserve"> All asset and count figures quoted in this manuscript (registered mechanisms, learning methods, service modules, code lines, API endpoints, test files and collected tests) are stated at the </w:t>
      </w:r>
      <w:r>
        <w:rPr>
          <w:rFonts w:ascii="Calibri" w:hAnsi="Calibri" w:eastAsia="Times New Roman" w:cs="Times New Roman"/>
          <w:b/>
          <w:sz w:val="21"/>
        </w:rPr>
        <w:t>unified baseline git tag `v1.1-submit`</w:t>
      </w:r>
      <w:r>
        <w:rPr>
          <w:rFonts w:ascii="Calibri" w:hAnsi="Calibri" w:eastAsia="Times New Roman" w:cs="Times New Roman"/>
          <w:sz w:val="21"/>
        </w:rPr>
        <w:t xml:space="preserve">, recomputed on the merged tree by </w:t>
      </w:r>
      <w:r>
        <w:rPr>
          <w:rFonts w:ascii="Consolas" w:hAnsi="Consolas" w:eastAsia="Times New Roman" w:cs="Times New Roman"/>
          <w:sz w:val="21"/>
        </w:rPr>
        <w:t>learnflow-backend/scripts/verify_asset_numbers.py --doc-check</w:t>
      </w:r>
      <w:r>
        <w:rPr>
          <w:rFonts w:ascii="Calibri" w:hAnsi="Calibri" w:eastAsia="Times New Roman" w:cs="Times New Roman"/>
          <w:sz w:val="21"/>
        </w:rPr>
        <w:t xml:space="preserve"> and </w:t>
      </w:r>
      <w:r>
        <w:rPr>
          <w:rFonts w:ascii="Consolas" w:hAnsi="Consolas" w:eastAsia="Times New Roman" w:cs="Times New Roman"/>
          <w:sz w:val="21"/>
        </w:rPr>
        <w:t>scripts/verify_counts.py</w:t>
      </w:r>
      <w:r>
        <w:rPr>
          <w:rFonts w:ascii="Calibri" w:hAnsi="Calibri" w:eastAsia="Times New Roman" w:cs="Times New Roman"/>
          <w:sz w:val="21"/>
        </w:rPr>
        <w:t xml:space="preserve">; cross-document agreement across the proposal, the research report, the journal-split plan and M1–M4 is enforced by </w:t>
      </w:r>
      <w:r>
        <w:rPr>
          <w:rFonts w:ascii="Consolas" w:hAnsi="Consolas" w:eastAsia="Times New Roman" w:cs="Times New Roman"/>
          <w:sz w:val="21"/>
        </w:rPr>
        <w:t>scripts/verify_cross_doc_numbers.py</w:t>
      </w:r>
      <w:r>
        <w:rPr>
          <w:rFonts w:ascii="Calibri" w:hAnsi="Calibri" w:eastAsia="Times New Roman" w:cs="Times New Roman"/>
          <w:sz w:val="21"/>
        </w:rPr>
        <w:t>.</w:t>
      </w:r>
    </w:p>
    <w:p>
      <w:pPr>
        <w:spacing w:after="120"/>
      </w:pPr>
      <w:r>
        <w:rPr>
          <w:rFonts w:ascii="Calibri" w:hAnsi="Calibri" w:eastAsia="Times New Roman" w:cs="Times New Roman"/>
          <w:b/>
          <w:sz w:val="21"/>
        </w:rPr>
        <w:t>Relation to the companion manuscript M4 (review §4.1 / §4.4, 2026-09-29).</w:t>
      </w:r>
      <w:r>
        <w:rPr>
          <w:rFonts w:ascii="Calibri" w:hAnsi="Calibri" w:eastAsia="Times New Roman" w:cs="Times New Roman"/>
          <w:sz w:val="21"/>
        </w:rPr>
        <w:t xml:space="preserve"> A companion manuscript M4 (</w:t>
      </w:r>
      <w:r>
        <w:rPr>
          <w:rFonts w:ascii="Calibri" w:hAnsi="Calibri" w:eastAsia="Times New Roman" w:cs="Times New Roman"/>
          <w:i/>
          <w:sz w:val="21"/>
        </w:rPr>
        <w:t>Reliability-Structured Combined Difficulty Estimation</w:t>
      </w:r>
      <w:r>
        <w:rPr>
          <w:rFonts w:ascii="Calibri" w:hAnsi="Calibri" w:eastAsia="Times New Roman" w:cs="Times New Roman"/>
          <w:sz w:val="21"/>
        </w:rPr>
        <w:t xml:space="preserve">) shares its empirical basis with §7 of this paper (the same </w:t>
      </w:r>
      <w:r>
        <w:rPr>
          <w:rFonts w:ascii="Consolas" w:hAnsi="Consolas" w:eastAsia="Times New Roman" w:cs="Times New Roman"/>
          <w:sz w:val="21"/>
        </w:rPr>
        <w:t>difficulty_cache.npz</w:t>
      </w:r>
      <w:r>
        <w:rPr>
          <w:rFonts w:ascii="Calibri" w:hAnsi="Calibri" w:eastAsia="Times New Roman" w:cs="Times New Roman"/>
          <w:sz w:val="21"/>
        </w:rPr>
        <w:t xml:space="preserve">, the same DBE teacher labels, the same Junyi labels, the same B-block holdout, the same </w:t>
      </w:r>
      <w:r>
        <w:rPr>
          <w:rFonts w:ascii="Consolas" w:hAnsi="Consolas" w:eastAsia="Times New Roman" w:cs="Times New Roman"/>
          <w:sz w:val="21"/>
        </w:rPr>
        <w:t>λ_cf</w:t>
      </w:r>
      <w:r>
        <w:rPr>
          <w:rFonts w:ascii="Calibri" w:hAnsi="Calibri" w:eastAsia="Times New Roman" w:cs="Times New Roman"/>
          <w:sz w:val="21"/>
        </w:rPr>
        <w:t xml:space="preserve">, the same </w:t>
      </w:r>
      <w:r>
        <w:rPr>
          <w:rFonts w:ascii="Consolas" w:hAnsi="Consolas" w:eastAsia="Times New Roman" w:cs="Times New Roman"/>
          <w:sz w:val="21"/>
        </w:rPr>
        <w:t>srw7</w:t>
      </w:r>
      <w:r>
        <w:rPr>
          <w:rFonts w:ascii="Calibri" w:hAnsi="Calibri" w:eastAsia="Times New Roman" w:cs="Times New Roman"/>
          <w:sz w:val="21"/>
        </w:rPr>
        <w:t xml:space="preserve">). Per review §4.4, </w:t>
      </w:r>
      <w:r>
        <w:rPr>
          <w:rFonts w:ascii="Calibri" w:hAnsi="Calibri" w:eastAsia="Times New Roman" w:cs="Times New Roman"/>
          <w:b/>
          <w:sz w:val="21"/>
        </w:rPr>
        <w:t>M4 is not submitted as an independent manuscript</w:t>
      </w:r>
      <w:r>
        <w:rPr>
          <w:rFonts w:ascii="Calibri" w:hAnsi="Calibri" w:eastAsia="Times New Roman" w:cs="Times New Roman"/>
          <w:sz w:val="21"/>
        </w:rPr>
        <w:t xml:space="preserve">; its disposition (merged into this paper as a section, or a pre-registered confirmatory experiment on a different dataset) is to be decided on </w:t>
      </w:r>
      <w:r>
        <w:rPr>
          <w:rFonts w:ascii="Calibri" w:hAnsi="Calibri" w:eastAsia="Times New Roman" w:cs="Times New Roman"/>
          <w:b/>
          <w:sz w:val="21"/>
        </w:rPr>
        <w:t>2026-11-03</w:t>
      </w:r>
      <w:r>
        <w:rPr>
          <w:rFonts w:ascii="Calibri" w:hAnsi="Calibri" w:eastAsia="Times New Roman" w:cs="Times New Roman"/>
          <w:sz w:val="21"/>
        </w:rPr>
        <w:t xml:space="preserve">, with no new experiments added before that date. </w:t>
      </w:r>
      <w:r>
        <w:rPr>
          <w:rFonts w:ascii="Calibri" w:hAnsi="Calibri" w:eastAsia="Times New Roman" w:cs="Times New Roman"/>
          <w:b/>
          <w:sz w:val="21"/>
        </w:rPr>
        <w:t>For any quantity bearing the same name in both, this paper is authoritative</w:t>
      </w:r>
      <w:r>
        <w:rPr>
          <w:rFonts w:ascii="Calibri" w:hAnsi="Calibri" w:eastAsia="Times New Roman" w:cs="Times New Roman"/>
          <w:sz w:val="21"/>
        </w:rPr>
        <w:t>; M4 may not set priority in the reverse direction.</w:t>
      </w:r>
    </w:p>
    <w:p>
      <w:pPr>
        <w:jc w:val="center"/>
      </w:pPr>
      <w:r>
        <w:rPr>
          <w:rFonts w:ascii="Calibri" w:hAnsi="Calibri" w:eastAsia="Times New Roman" w:cs="Times New Roman"/>
          <w:b/>
          <w:sz w:val="30"/>
        </w:rPr>
        <w:t>Contents</w:t>
      </w:r>
    </w:p>
    <w:p>
      <w:pPr>
        <w:spacing w:after="40"/>
        <w:ind w:left="360"/>
      </w:pPr>
      <w:r>
        <w:rPr>
          <w:rFonts w:ascii="Calibri" w:hAnsi="Calibri" w:eastAsia="Times New Roman" w:cs="Times New Roman"/>
          <w:sz w:val="21"/>
        </w:rPr>
        <w:t>Abstract</w:t>
      </w:r>
    </w:p>
    <w:p>
      <w:pPr>
        <w:spacing w:after="40"/>
        <w:ind w:left="360"/>
      </w:pPr>
      <w:r>
        <w:rPr>
          <w:rFonts w:ascii="Calibri" w:hAnsi="Calibri" w:eastAsia="Times New Roman" w:cs="Times New Roman"/>
          <w:sz w:val="21"/>
        </w:rPr>
        <w:t>1 Introduction</w:t>
      </w:r>
    </w:p>
    <w:p>
      <w:pPr>
        <w:spacing w:after="40"/>
        <w:ind w:left="720"/>
      </w:pPr>
      <w:r>
        <w:rPr>
          <w:rFonts w:ascii="Calibri" w:hAnsi="Calibri" w:eastAsia="Times New Roman" w:cs="Times New Roman"/>
          <w:sz w:val="21"/>
        </w:rPr>
        <w:t>1.1 A skipped question</w:t>
      </w:r>
    </w:p>
    <w:p>
      <w:pPr>
        <w:spacing w:after="40"/>
        <w:ind w:left="720"/>
      </w:pPr>
      <w:r>
        <w:rPr>
          <w:rFonts w:ascii="Calibri" w:hAnsi="Calibri" w:eastAsia="Times New Roman" w:cs="Times New Roman"/>
          <w:sz w:val="21"/>
        </w:rPr>
        <w:t>1.2 Why this is not a technical detail</w:t>
      </w:r>
    </w:p>
    <w:p>
      <w:pPr>
        <w:spacing w:after="40"/>
        <w:ind w:left="720"/>
      </w:pPr>
      <w:r>
        <w:rPr>
          <w:rFonts w:ascii="Calibri" w:hAnsi="Calibri" w:eastAsia="Times New Roman" w:cs="Times New Roman"/>
          <w:sz w:val="21"/>
        </w:rPr>
        <w:t>1.3 What this paper does not claim</w:t>
      </w:r>
    </w:p>
    <w:p>
      <w:pPr>
        <w:spacing w:after="40"/>
        <w:ind w:left="720"/>
      </w:pPr>
      <w:r>
        <w:rPr>
          <w:rFonts w:ascii="Calibri" w:hAnsi="Calibri" w:eastAsia="Times New Roman" w:cs="Times New Roman"/>
          <w:sz w:val="21"/>
        </w:rPr>
        <w:t>1.4 Contributions and main findings</w:t>
      </w:r>
    </w:p>
    <w:p>
      <w:pPr>
        <w:spacing w:after="40"/>
        <w:ind w:left="720"/>
      </w:pPr>
      <w:r>
        <w:rPr>
          <w:rFonts w:ascii="Calibri" w:hAnsi="Calibri" w:eastAsia="Times New Roman" w:cs="Times New Roman"/>
          <w:sz w:val="21"/>
        </w:rPr>
        <w:t>1.5 Structure and reproducibility</w:t>
      </w:r>
    </w:p>
    <w:p>
      <w:pPr>
        <w:spacing w:after="40"/>
        <w:ind w:left="360"/>
      </w:pPr>
      <w:r>
        <w:rPr>
          <w:rFonts w:ascii="Calibri" w:hAnsi="Calibri" w:eastAsia="Times New Roman" w:cs="Times New Roman"/>
          <w:sz w:val="21"/>
        </w:rPr>
        <w:t>2 Related Work</w:t>
      </w:r>
    </w:p>
    <w:p>
      <w:pPr>
        <w:spacing w:after="40"/>
        <w:ind w:left="720"/>
      </w:pPr>
      <w:r>
        <w:rPr>
          <w:rFonts w:ascii="Calibri" w:hAnsi="Calibri" w:eastAsia="Times New Roman" w:cs="Times New Roman"/>
          <w:sz w:val="21"/>
        </w:rPr>
        <w:t>2.1 Knowledge tracing and the difficulty–ability confound</w:t>
      </w:r>
    </w:p>
    <w:p>
      <w:pPr>
        <w:spacing w:after="40"/>
        <w:ind w:left="720"/>
      </w:pPr>
      <w:r>
        <w:rPr>
          <w:rFonts w:ascii="Calibri" w:hAnsi="Calibri" w:eastAsia="Times New Roman" w:cs="Times New Roman"/>
          <w:sz w:val="21"/>
        </w:rPr>
        <w:t>2.2 Test equating and IRT linking</w:t>
      </w:r>
    </w:p>
    <w:p>
      <w:pPr>
        <w:spacing w:after="40"/>
        <w:ind w:left="720"/>
      </w:pPr>
      <w:r>
        <w:rPr>
          <w:rFonts w:ascii="Calibri" w:hAnsi="Calibri" w:eastAsia="Times New Roman" w:cs="Times New Roman"/>
          <w:sz w:val="21"/>
        </w:rPr>
        <w:t>2.3 Multi-signal difficulty estimation and the place of expert labels</w:t>
      </w:r>
    </w:p>
    <w:p>
      <w:pPr>
        <w:spacing w:after="40"/>
        <w:ind w:left="720"/>
      </w:pPr>
      <w:r>
        <w:rPr>
          <w:rFonts w:ascii="Calibri" w:hAnsi="Calibri" w:eastAsia="Times New Roman" w:cs="Times New Roman"/>
          <w:sz w:val="21"/>
        </w:rPr>
        <w:t>2.4 The 85% rule, the challenge-point framework, and evidence on real learners</w:t>
      </w:r>
    </w:p>
    <w:p>
      <w:pPr>
        <w:spacing w:after="40"/>
        <w:ind w:left="720"/>
      </w:pPr>
      <w:r>
        <w:rPr>
          <w:rFonts w:ascii="Calibri" w:hAnsi="Calibri" w:eastAsia="Times New Roman" w:cs="Times New Roman"/>
          <w:sz w:val="21"/>
        </w:rPr>
        <w:t>2.5 Off-policy evaluation: the preregistered toolbox and its execution (2026-09-24 supplement)</w:t>
      </w:r>
    </w:p>
    <w:p>
      <w:pPr>
        <w:spacing w:after="40"/>
        <w:ind w:left="360"/>
      </w:pPr>
      <w:r>
        <w:rPr>
          <w:rFonts w:ascii="Calibri" w:hAnsi="Calibri" w:eastAsia="Times New Roman" w:cs="Times New Roman"/>
          <w:sz w:val="21"/>
        </w:rPr>
        <w:t>3 Theory: the Instability Proposition</w:t>
      </w:r>
    </w:p>
    <w:p>
      <w:pPr>
        <w:spacing w:after="40"/>
        <w:ind w:left="720"/>
      </w:pPr>
      <w:r>
        <w:rPr>
          <w:rFonts w:ascii="Calibri" w:hAnsi="Calibri" w:eastAsia="Times New Roman" w:cs="Times New Roman"/>
          <w:sz w:val="21"/>
        </w:rPr>
        <w:t>3.1 Four difficulty sources and their scale types</w:t>
      </w:r>
    </w:p>
    <w:p>
      <w:pPr>
        <w:spacing w:after="40"/>
        <w:ind w:left="720"/>
      </w:pPr>
      <w:r>
        <w:rPr>
          <w:rFonts w:ascii="Calibri" w:hAnsi="Calibri" w:eastAsia="Times New Roman" w:cs="Times New Roman"/>
          <w:sz w:val="21"/>
        </w:rPr>
        <w:t>3.2 Two metrics and their invariance</w:t>
      </w:r>
    </w:p>
    <w:p>
      <w:pPr>
        <w:spacing w:after="40"/>
        <w:ind w:left="720"/>
      </w:pPr>
      <w:r>
        <w:rPr>
          <w:rFonts w:ascii="Calibri" w:hAnsi="Calibri" w:eastAsia="Times New Roman" w:cs="Times New Roman"/>
          <w:sz w:val="21"/>
        </w:rPr>
        <w:t>3.3 Proposition C1 and its testable implications</w:t>
      </w:r>
    </w:p>
    <w:p>
      <w:pPr>
        <w:spacing w:after="40"/>
        <w:ind w:left="360"/>
      </w:pPr>
      <w:r>
        <w:rPr>
          <w:rFonts w:ascii="Calibri" w:hAnsi="Calibri" w:eastAsia="Times New Roman" w:cs="Times New Roman"/>
          <w:sz w:val="21"/>
        </w:rPr>
        <w:t>4 Method Validation: the Proposition on Synthetic Data</w:t>
      </w:r>
    </w:p>
    <w:p>
      <w:pPr>
        <w:spacing w:after="40"/>
        <w:ind w:left="720"/>
      </w:pPr>
      <w:r>
        <w:rPr>
          <w:rFonts w:ascii="Calibri" w:hAnsi="Calibri" w:eastAsia="Times New Roman" w:cs="Times New Roman"/>
          <w:sz w:val="21"/>
        </w:rPr>
        <w:t>4.1 Generative model and experimental setup</w:t>
      </w:r>
    </w:p>
    <w:p>
      <w:pPr>
        <w:spacing w:after="40"/>
        <w:ind w:left="720"/>
      </w:pPr>
      <w:r>
        <w:rPr>
          <w:rFonts w:ascii="Calibri" w:hAnsi="Calibri" w:eastAsia="Times New Roman" w:cs="Times New Roman"/>
          <w:sz w:val="21"/>
        </w:rPr>
        <w:t>4.2 Baseline: effective weights already differ from nominal</w:t>
      </w:r>
    </w:p>
    <w:p>
      <w:pPr>
        <w:spacing w:after="40"/>
        <w:ind w:left="720"/>
      </w:pPr>
      <w:r>
        <w:rPr>
          <w:rFonts w:ascii="Calibri" w:hAnsi="Calibri" w:eastAsia="Times New Roman" w:cs="Times New Roman"/>
          <w:sz w:val="21"/>
        </w:rPr>
        <w:t>4.3 Metric A: affine-invariant, nonlinear-monotone drift</w:t>
      </w:r>
    </w:p>
    <w:p>
      <w:pPr>
        <w:spacing w:after="40"/>
        <w:ind w:left="720"/>
      </w:pPr>
      <w:r>
        <w:rPr>
          <w:rFonts w:ascii="Calibri" w:hAnsi="Calibri" w:eastAsia="Times New Roman" w:cs="Times New Roman"/>
          <w:sz w:val="21"/>
        </w:rPr>
        <w:t>4.4 Metric B: zero drift under shared calibration, sampling noise only under independent calibration</w:t>
      </w:r>
    </w:p>
    <w:p>
      <w:pPr>
        <w:spacing w:after="40"/>
        <w:ind w:left="720"/>
      </w:pPr>
      <w:r>
        <w:rPr>
          <w:rFonts w:ascii="Calibri" w:hAnsi="Calibri" w:eastAsia="Times New Roman" w:cs="Times New Roman"/>
          <w:sz w:val="21"/>
        </w:rPr>
        <w:t>4.5 Three counterexamples: information unchanged, weight-rank reversed</w:t>
      </w:r>
    </w:p>
    <w:p>
      <w:pPr>
        <w:spacing w:after="40"/>
        <w:ind w:left="720"/>
      </w:pPr>
      <w:r>
        <w:rPr>
          <w:rFonts w:ascii="Calibri" w:hAnsi="Calibri" w:eastAsia="Times New Roman" w:cs="Times New Roman"/>
          <w:sz w:val="21"/>
        </w:rPr>
        <w:t>4.6 Boundaries of the synthetic experiment (honest statement)</w:t>
      </w:r>
    </w:p>
    <w:p>
      <w:pPr>
        <w:spacing w:after="40"/>
        <w:ind w:left="360"/>
      </w:pPr>
      <w:r>
        <w:rPr>
          <w:rFonts w:ascii="Calibri" w:hAnsi="Calibri" w:eastAsia="Times New Roman" w:cs="Times New Roman"/>
          <w:sz w:val="21"/>
        </w:rPr>
        <w:t>5 Real-Data Test I: Metric Repair and Two Negative Results</w:t>
      </w:r>
    </w:p>
    <w:p>
      <w:pPr>
        <w:spacing w:after="40"/>
        <w:ind w:left="720"/>
      </w:pPr>
      <w:r>
        <w:rPr>
          <w:rFonts w:ascii="Calibri" w:hAnsi="Calibri" w:eastAsia="Times New Roman" w:cs="Times New Roman"/>
          <w:sz w:val="21"/>
        </w:rPr>
        <w:t>5.1 Data, licences, and samples</w:t>
      </w:r>
    </w:p>
    <w:p>
      <w:pPr>
        <w:spacing w:after="40"/>
        <w:ind w:left="720"/>
      </w:pPr>
      <w:r>
        <w:rPr>
          <w:rFonts w:ascii="Calibri" w:hAnsi="Calibri" w:eastAsia="Times New Roman" w:cs="Times New Roman"/>
          <w:sz w:val="21"/>
        </w:rPr>
        <w:t>5.2 Real difficulty sources pairwise weakly negatively correlated: a form impossible in the synthetic experiment</w:t>
      </w:r>
    </w:p>
    <w:p>
      <w:pPr>
        <w:spacing w:after="40"/>
        <w:ind w:left="720"/>
      </w:pPr>
      <w:r>
        <w:rPr>
          <w:rFonts w:ascii="Calibri" w:hAnsi="Calibri" w:eastAsia="Times New Roman" w:cs="Times New Roman"/>
          <w:sz w:val="21"/>
        </w:rPr>
        <w:t>5.3 O1: from 0.5357 to 0.0001</w:t>
      </w:r>
    </w:p>
    <w:p>
      <w:pPr>
        <w:spacing w:after="40"/>
        <w:ind w:left="720"/>
      </w:pPr>
      <w:r>
        <w:rPr>
          <w:rFonts w:ascii="Calibri" w:hAnsi="Calibri" w:eastAsia="Times New Roman" w:cs="Times New Roman"/>
          <w:sz w:val="21"/>
        </w:rPr>
        <w:t>5.4 O2: changing the estimator is only worth +0.009</w:t>
      </w:r>
    </w:p>
    <w:p>
      <w:pPr>
        <w:spacing w:after="40"/>
        <w:ind w:left="720"/>
      </w:pPr>
      <w:r>
        <w:rPr>
          <w:rFonts w:ascii="Calibri" w:hAnsi="Calibri" w:eastAsia="Times New Roman" w:cs="Times New Roman"/>
          <w:sz w:val="21"/>
        </w:rPr>
        <w:t>5.5 O3: knowledge-tree structure is not difficulty order</w:t>
      </w:r>
    </w:p>
    <w:p>
      <w:pPr>
        <w:spacing w:after="40"/>
        <w:ind w:left="360"/>
      </w:pPr>
      <w:r>
        <w:rPr>
          <w:rFonts w:ascii="Calibri" w:hAnsi="Calibri" w:eastAsia="Times New Roman" w:cs="Times New Roman"/>
          <w:sz w:val="21"/>
        </w:rPr>
        <w:t>6 Real-Data Test II: Multi-Signal Fusion and the Gain under the Expert-Label Criterion</w:t>
      </w:r>
    </w:p>
    <w:p>
      <w:pPr>
        <w:spacing w:after="40"/>
        <w:ind w:left="720"/>
      </w:pPr>
      <w:r>
        <w:rPr>
          <w:rFonts w:ascii="Calibri" w:hAnsi="Calibri" w:eastAsia="Times New Roman" w:cs="Times New Roman"/>
          <w:sz w:val="21"/>
        </w:rPr>
        <w:t>6.1 O4: five-signal fusion on DBE-KT22 and a differential feature</w:t>
      </w:r>
    </w:p>
    <w:p>
      <w:pPr>
        <w:spacing w:after="40"/>
        <w:ind w:left="720"/>
      </w:pPr>
      <w:r>
        <w:rPr>
          <w:rFonts w:ascii="Calibri" w:hAnsi="Calibri" w:eastAsia="Times New Roman" w:cs="Times New Roman"/>
          <w:sz w:val="21"/>
        </w:rPr>
        <w:t>6.2 O4b: extended features add no gain, the differential feature is the driver</w:t>
      </w:r>
    </w:p>
    <w:p>
      <w:pPr>
        <w:spacing w:after="40"/>
        <w:ind w:left="720"/>
      </w:pPr>
      <w:r>
        <w:rPr>
          <w:rFonts w:ascii="Calibri" w:hAnsi="Calibri" w:eastAsia="Times New Roman" w:cs="Times New Roman"/>
          <w:sz w:val="21"/>
        </w:rPr>
        <w:t>6.3 O5: cross-system reproduction on Junyi (no-feedback regime)</w:t>
      </w:r>
    </w:p>
    <w:p>
      <w:pPr>
        <w:spacing w:after="40"/>
        <w:ind w:left="720"/>
      </w:pPr>
      <w:r>
        <w:rPr>
          <w:rFonts w:ascii="Calibri" w:hAnsi="Calibri" w:eastAsia="Times New Roman" w:cs="Times New Roman"/>
          <w:sz w:val="21"/>
        </w:rPr>
        <w:t>6.4 O6a: sample efficiency — the gain is complementary information, not denoising</w:t>
      </w:r>
    </w:p>
    <w:p>
      <w:pPr>
        <w:spacing w:after="40"/>
        <w:ind w:left="720"/>
      </w:pPr>
      <w:r>
        <w:rPr>
          <w:rFonts w:ascii="Calibri" w:hAnsi="Calibri" w:eastAsia="Times New Roman" w:cs="Times New Roman"/>
          <w:sz w:val="21"/>
        </w:rPr>
        <w:t>6.5 O6b: statistical robustness (bootstrap 2000 and repeated cross-validation)</w:t>
      </w:r>
    </w:p>
    <w:p>
      <w:pPr>
        <w:spacing w:after="40"/>
        <w:ind w:left="360"/>
      </w:pPr>
      <w:r>
        <w:rPr>
          <w:rFonts w:ascii="Calibri" w:hAnsi="Calibri" w:eastAsia="Times New Roman" w:cs="Times New Roman"/>
          <w:sz w:val="21"/>
        </w:rPr>
        <w:t>7 Criterion Switch: Holdout Validation, Conclusion Reversal, and a Directional Error</w:t>
      </w:r>
    </w:p>
    <w:p>
      <w:pPr>
        <w:spacing w:after="40"/>
        <w:ind w:left="720"/>
      </w:pPr>
      <w:r>
        <w:rPr>
          <w:rFonts w:ascii="Calibri" w:hAnsi="Calibri" w:eastAsia="Times New Roman" w:cs="Times New Roman"/>
          <w:sz w:val="21"/>
        </w:rPr>
        <w:t>7.1 The distance between expert labels and real-performance difficulty</w:t>
      </w:r>
    </w:p>
    <w:p>
      <w:pPr>
        <w:spacing w:after="40"/>
        <w:ind w:left="720"/>
      </w:pPr>
      <w:r>
        <w:rPr>
          <w:rFonts w:ascii="Calibri" w:hAnsi="Calibri" w:eastAsia="Times New Roman" w:cs="Times New Roman"/>
          <w:sz w:val="21"/>
        </w:rPr>
        <w:t>7.2 O7: conclusion reversal under holdout validation</w:t>
      </w:r>
    </w:p>
    <w:p>
      <w:pPr>
        <w:spacing w:after="40"/>
        <w:ind w:left="720"/>
      </w:pPr>
      <w:r>
        <w:rPr>
          <w:rFonts w:ascii="Calibri" w:hAnsi="Calibri" w:eastAsia="Times New Roman" w:cs="Times New Roman"/>
          <w:sz w:val="21"/>
        </w:rPr>
        <w:t>7.3 O8: locating and fixing a directional error</w:t>
      </w:r>
    </w:p>
    <w:p>
      <w:pPr>
        <w:spacing w:after="40"/>
        <w:ind w:left="720"/>
      </w:pPr>
      <w:r>
        <w:rPr>
          <w:rFonts w:ascii="Calibri" w:hAnsi="Calibri" w:eastAsia="Times New Roman" w:cs="Times New Roman"/>
          <w:sz w:val="21"/>
        </w:rPr>
        <w:t>7.4 Sample-size-adaptive shrinkage λ*(k)</w:t>
      </w:r>
    </w:p>
    <w:p>
      <w:pPr>
        <w:spacing w:after="40"/>
        <w:ind w:left="720"/>
      </w:pPr>
      <w:r>
        <w:rPr>
          <w:rFonts w:ascii="Calibri" w:hAnsi="Calibri" w:eastAsia="Times New Roman" w:cs="Times New Roman"/>
          <w:sz w:val="21"/>
        </w:rPr>
        <w:t>7.5 Leave-one-k cross-validation of λ*(k) (O9): in-interval interpolation test, formula directly deployable</w:t>
      </w:r>
    </w:p>
    <w:p>
      <w:pPr>
        <w:spacing w:after="40"/>
        <w:ind w:left="720"/>
      </w:pPr>
      <w:r>
        <w:rPr>
          <w:rFonts w:ascii="Calibri" w:hAnsi="Calibri" w:eastAsia="Times New Roman" w:cs="Times New Roman"/>
          <w:sz w:val="21"/>
        </w:rPr>
        <w:t>7.6 Student-level holdout validation (O10): empirical test of the record-level concern</w:t>
      </w:r>
    </w:p>
    <w:p>
      <w:pPr>
        <w:spacing w:after="40"/>
        <w:ind w:left="720"/>
      </w:pPr>
      <w:r>
        <w:rPr>
          <w:rFonts w:ascii="Calibri" w:hAnsi="Calibri" w:eastAsia="Times New Roman" w:cs="Times New Roman"/>
          <w:sz w:val="21"/>
        </w:rPr>
        <w:t>7.7 Three boundaries (must be reported together with the conclusions)</w:t>
      </w:r>
    </w:p>
    <w:p>
      <w:pPr>
        <w:spacing w:after="40"/>
        <w:ind w:left="720"/>
      </w:pPr>
      <w:r>
        <w:rPr>
          <w:rFonts w:ascii="Calibri" w:hAnsi="Calibri" w:eastAsia="Times New Roman" w:cs="Times New Roman"/>
          <w:sz w:val="21"/>
        </w:rPr>
        <w:t>7.8 O11/O12: optimising the fusion estimator — sign correction and split-half-reliability weighting</w:t>
      </w:r>
    </w:p>
    <w:p>
      <w:pPr>
        <w:spacing w:after="40"/>
        <w:ind w:left="360"/>
      </w:pPr>
      <w:r>
        <w:rPr>
          <w:rFonts w:ascii="Calibri" w:hAnsi="Calibri" w:eastAsia="Times New Roman" w:cs="Times New Roman"/>
          <w:sz w:val="21"/>
        </w:rPr>
        <w:t>8 Optimal Error Rate: Descriptive Evidence and the Unfinished Causal Identification</w:t>
      </w:r>
    </w:p>
    <w:p>
      <w:pPr>
        <w:spacing w:after="40"/>
        <w:ind w:left="720"/>
      </w:pPr>
      <w:r>
        <w:rPr>
          <w:rFonts w:ascii="Calibri" w:hAnsi="Calibri" w:eastAsia="Times New Roman" w:cs="Times New Roman"/>
          <w:sz w:val="21"/>
        </w:rPr>
        <w:t>8.1 The sliding-window error-rate distribution on assist09</w:t>
      </w:r>
    </w:p>
    <w:p>
      <w:pPr>
        <w:spacing w:after="40"/>
        <w:ind w:left="720"/>
      </w:pPr>
      <w:r>
        <w:rPr>
          <w:rFonts w:ascii="Calibri" w:hAnsi="Calibri" w:eastAsia="Times New Roman" w:cs="Times New Roman"/>
          <w:sz w:val="21"/>
        </w:rPr>
        <w:t>8.2 What this distribution shows and does not show</w:t>
      </w:r>
    </w:p>
    <w:p>
      <w:pPr>
        <w:spacing w:after="40"/>
        <w:ind w:left="720"/>
      </w:pPr>
      <w:r>
        <w:rPr>
          <w:rFonts w:ascii="Calibri" w:hAnsi="Calibri" w:eastAsia="Times New Roman" w:cs="Times New Roman"/>
          <w:sz w:val="21"/>
        </w:rPr>
        <w:t>8.3 The causal side — removed from this paper (review §2.2, 2026-09-29)</w:t>
      </w:r>
    </w:p>
    <w:p>
      <w:pPr>
        <w:spacing w:after="40"/>
        <w:ind w:left="720"/>
      </w:pPr>
      <w:r>
        <w:rPr>
          <w:rFonts w:ascii="Calibri" w:hAnsi="Calibri" w:eastAsia="Times New Roman" w:cs="Times New Roman"/>
          <w:sz w:val="21"/>
        </w:rPr>
        <w:t>8.4 Status of preregistered hypotheses</w:t>
      </w:r>
    </w:p>
    <w:p>
      <w:pPr>
        <w:spacing w:after="40"/>
        <w:ind w:left="360"/>
      </w:pPr>
      <w:r>
        <w:rPr>
          <w:rFonts w:ascii="Calibri" w:hAnsi="Calibri" w:eastAsia="Times New Roman" w:cs="Times New Roman"/>
          <w:sz w:val="21"/>
        </w:rPr>
        <w:t>9 Discussion</w:t>
      </w:r>
    </w:p>
    <w:p>
      <w:pPr>
        <w:spacing w:after="40"/>
        <w:ind w:left="720"/>
      </w:pPr>
      <w:r>
        <w:rPr>
          <w:rFonts w:ascii="Calibri" w:hAnsi="Calibri" w:eastAsia="Times New Roman" w:cs="Times New Roman"/>
          <w:sz w:val="21"/>
        </w:rPr>
        <w:t>9.1 Three conclusions</w:t>
      </w:r>
    </w:p>
    <w:p>
      <w:pPr>
        <w:spacing w:after="40"/>
        <w:ind w:left="720"/>
      </w:pPr>
      <w:r>
        <w:rPr>
          <w:rFonts w:ascii="Calibri" w:hAnsi="Calibri" w:eastAsia="Times New Roman" w:cs="Times New Roman"/>
          <w:sz w:val="21"/>
        </w:rPr>
        <w:t>9.2 Implications for the system and three landed code changes</w:t>
      </w:r>
    </w:p>
    <w:p>
      <w:pPr>
        <w:spacing w:after="40"/>
        <w:ind w:left="720"/>
      </w:pPr>
      <w:r>
        <w:rPr>
          <w:rFonts w:ascii="Calibri" w:hAnsi="Calibri" w:eastAsia="Times New Roman" w:cs="Times New Roman"/>
          <w:sz w:val="21"/>
        </w:rPr>
        <w:t>9.3 Limitations</w:t>
      </w:r>
    </w:p>
    <w:p>
      <w:pPr>
        <w:spacing w:after="40"/>
        <w:ind w:left="720"/>
      </w:pPr>
      <w:r>
        <w:rPr>
          <w:rFonts w:ascii="Calibri" w:hAnsi="Calibri" w:eastAsia="Times New Roman" w:cs="Times New Roman"/>
          <w:sz w:val="21"/>
        </w:rPr>
        <w:t>9.4 One practical recommendation</w:t>
      </w:r>
    </w:p>
    <w:p>
      <w:pPr>
        <w:spacing w:after="40"/>
        <w:ind w:left="360"/>
      </w:pPr>
      <w:r>
        <w:rPr>
          <w:rFonts w:ascii="Calibri" w:hAnsi="Calibri" w:eastAsia="Times New Roman" w:cs="Times New Roman"/>
          <w:sz w:val="21"/>
        </w:rPr>
        <w:t>10 Honest Gap Inventory</w:t>
      </w:r>
    </w:p>
    <w:p>
      <w:pPr>
        <w:spacing w:after="40"/>
        <w:ind w:left="360"/>
      </w:pPr>
      <w:r>
        <w:rPr>
          <w:rFonts w:ascii="Calibri" w:hAnsi="Calibri" w:eastAsia="Times New Roman" w:cs="Times New Roman"/>
          <w:sz w:val="21"/>
        </w:rPr>
        <w:t>11 Conclusions</w:t>
      </w:r>
    </w:p>
    <w:p>
      <w:pPr>
        <w:spacing w:after="40"/>
        <w:ind w:left="360"/>
      </w:pPr>
      <w:r>
        <w:rPr>
          <w:rFonts w:ascii="Calibri" w:hAnsi="Calibri" w:eastAsia="Times New Roman" w:cs="Times New Roman"/>
          <w:sz w:val="21"/>
        </w:rPr>
        <w:t>References</w:t>
      </w:r>
    </w:p>
    <w:p/>
    <w:p>
      <w:pPr>
        <w:pStyle w:val="Heading1"/>
        <w:spacing w:before="200" w:after="80"/>
      </w:pPr>
      <w:r>
        <w:rPr>
          <w:rFonts w:ascii="Calibri" w:hAnsi="Calibri" w:eastAsia="Times New Roman" w:cs="Times New Roman"/>
          <w:sz w:val="32"/>
        </w:rPr>
        <w:t>Abstract</w:t>
      </w:r>
    </w:p>
    <w:p>
      <w:pPr>
        <w:spacing w:after="120"/>
      </w:pPr>
      <w:r>
        <w:rPr>
          <w:rFonts w:ascii="Calibri" w:hAnsi="Calibri" w:eastAsia="Times New Roman" w:cs="Times New Roman"/>
          <w:sz w:val="21"/>
        </w:rPr>
        <w:t xml:space="preserve">(Methodological contributions upfront: the two independently standing methodological conclusions of this paper are the quantile-logit metric invariance identity and the </w:t>
      </w:r>
      <w:r>
        <w:rPr>
          <w:rFonts w:ascii="Consolas" w:hAnsi="Consolas" w:eastAsia="Times New Roman" w:cs="Times New Roman"/>
          <w:sz w:val="21"/>
        </w:rPr>
        <w:t>srw7</w:t>
      </w:r>
      <w:r>
        <w:rPr>
          <w:rFonts w:ascii="Calibri" w:hAnsi="Calibri" w:eastAsia="Times New Roman" w:cs="Times New Roman"/>
          <w:sz w:val="21"/>
        </w:rPr>
        <w:t xml:space="preserve"> sample-size-adaptive shrinkage weighting; the empirical negative results below are all presented within this framework.) Adaptive learning systems must answer "what difficulty should the next item have?" every day, yet the prior question—whether difficulty is a quantity that can be placed on one common scale—is systematically skipped. We reformulate that question as a falsifiable measurement proposition and report three results. </w:t>
      </w:r>
      <w:r>
        <w:rPr>
          <w:rFonts w:ascii="Calibri" w:hAnsi="Calibri" w:eastAsia="Times New Roman" w:cs="Times New Roman"/>
          <w:b/>
          <w:sz w:val="21"/>
        </w:rPr>
        <w:t>First, the magnitude of the instability proposition (C1) on real systems is quantified.</w:t>
      </w:r>
      <w:r>
        <w:rPr>
          <w:rFonts w:ascii="Calibri" w:hAnsi="Calibri" w:eastAsia="Times New Roman" w:cs="Times New Roman"/>
          <w:sz w:val="21"/>
        </w:rPr>
        <w:t xml:space="preserve"> The invariance side of the proposition is an identity, not a discovery (Section 3.2: for strictly increasing g, #{g(x_cal) ≤ g(x)} = #{x_cal ≤ x}, so effective weights under the quantile metric are pointwise invariant); this paper's contribution is to quantify how large the discrepancy becomes when that identity is violated. If difficulty sources are each normalised to [0,1] and then linearly combined, the "effective weights" defined by marginal contribution equal neither the nominal weights (π₁ = 0.532 ± 0.026 against nominal w₁ = 0.40 in simulation) nor themselves under a monotone reparameterisation of any single source: drift is exactly zero under affine transforms (absorbed by min-max) but averages L1 = 0.1276 (SD 0.0196) under nonlinear monotone transforms, with rank reversals in 36.4% of (source, transform) cells and complete sign reversal in the strongest counterexample (Spearman −0.20, L1 = 0.6893). An empirical-CDF-to-logit quantile metric gives exactly zero drift under shared calibration, 0.016 linking sampling noise under independent calibration, and zero reversals. On real data (assist09, 994 items), linear min-max fusion drifts by L1 = 0.5357 with substantial reversals, while the quantile metric reduces this to 0.0001 with reversals eliminated. </w:t>
      </w:r>
      <w:r>
        <w:rPr>
          <w:rFonts w:ascii="Calibri" w:hAnsi="Calibri" w:eastAsia="Times New Roman" w:cs="Times New Roman"/>
          <w:b/>
          <w:sz w:val="21"/>
        </w:rPr>
        <w:t>Second, the gain from multi-signal fusion is a gain in consistency with expert labels, not in predictive power.</w:t>
      </w:r>
      <w:r>
        <w:rPr>
          <w:rFonts w:ascii="Calibri" w:hAnsi="Calibri" w:eastAsia="Times New Roman" w:cs="Times New Roman"/>
          <w:sz w:val="21"/>
        </w:rPr>
        <w:t xml:space="preserve"> On DBE-KT22 (212 items), the rank correlation between expert and empirical difficulty is only 0.2207; a joint IRT-1PL estimator raises it merely to 0.2300, whereas equal-weight fusion of five behavioural signals (quantile metric) rises to 0.2918 and optimised weights under repeated 5-fold ×10 cross-validation reach 0.5240 ± 0.1069, driven by a differential feature "self-reported difficulty high and trust low." On Junyi (1,234 exercises, 16.21 million interactions, no self-report feedback) the same pattern reproduces: 0.2610 → 0.3629, with repeated cross-validation 0.4023 ± 0.0480; the bootstrap paired gain is Junyi Δ = +0.1017 [0.0726, 0.1325] (p = 0.000), DBE Δ = +0.0723 [−0.0195, 0.1649] (one-sided p = 0.059, only marginally significant). </w:t>
      </w:r>
      <w:r>
        <w:rPr>
          <w:rFonts w:ascii="Calibri" w:hAnsi="Calibri" w:eastAsia="Times New Roman" w:cs="Times New Roman"/>
          <w:b/>
          <w:sz w:val="21"/>
        </w:rPr>
        <w:t>Qualification (review §3.2 ③): when the criterion quantity is success rate, the success-rate estimator's dominance at large samples is design-expected; fusion's role is rank stabilisation at small samples.</w:t>
      </w:r>
      <w:r>
        <w:rPr>
          <w:rFonts w:ascii="Calibri" w:hAnsi="Calibri" w:eastAsia="Times New Roman" w:cs="Times New Roman"/>
          <w:sz w:val="21"/>
        </w:rPr>
        <w:t xml:space="preserve"> </w:t>
      </w:r>
      <w:r>
        <w:rPr>
          <w:rFonts w:ascii="Calibri" w:hAnsi="Calibri" w:eastAsia="Times New Roman" w:cs="Times New Roman"/>
          <w:b/>
          <w:sz w:val="21"/>
        </w:rPr>
        <w:t>Third, the above gain reverses under a changed criterion.</w:t>
      </w:r>
      <w:r>
        <w:rPr>
          <w:rFonts w:ascii="Calibri" w:hAnsi="Calibri" w:eastAsia="Times New Roman" w:cs="Times New Roman"/>
          <w:sz w:val="21"/>
        </w:rPr>
        <w:t xml:space="preserve"> The rank correlation between expert labels and real-performance difficulty is only 0.4326; once the criterion is switched to "real performance on unseen samples," equal-weight fusion is worse than success rate alone at every sample size on both Junyi and DBE (Junyi −0.0267 → −0.1222, DBE −0.1752 → −0.2113, fusion win rate 0.00). One located cause is a directional error in the fusion configuration (the upgrade rate was assigned a positive weight +0.154); after its removal and the introduction of sample-size-adaptive shrinkage λ</w:t>
      </w:r>
      <w:r>
        <w:rPr>
          <w:rFonts w:ascii="Calibri" w:hAnsi="Calibri" w:eastAsia="Times New Roman" w:cs="Times New Roman"/>
          <w:i/>
          <w:sz w:val="21"/>
        </w:rPr>
        <w:t xml:space="preserve">(k) = 1/(1+(k/27.4)^0.902) (R² = 0.9989; the deployed value uses the leave-one-k cross-validation fit 27.3 / 0.895, rounded from k₀ = 27.332), the small-sample bracket first overtakes (k = 10: +3.43 percentage points), but the gain falls below 0.22 pp for k ≥ 100. Further, we optimise the fusion estimator itself—sign-correcting each signal by its in-fit-block rank correlation (retaining the information of inversely signed signals rather than dropping the column) and split-half-reliability weighting per signal—yielding the `srw7` estimator; under both record-level and student-level double holdout it is non-inferior to the "success-rate-only" baseline at every sample size and exceeds O8's fused6 at all brackets (record-level +3.823 / +2.025 / +0.930 / +0.391 / +0.138 pp; student-level +4.283 / +2.189 / +0.951 / +0.335 / +0.102 pp), eliminating fused6's harmfulness below baseline for k ≥ 25. Finally, we report the sliding-window error-rate distribution on assist09 (n = 286,150 windows; mean 0.3511). At window width W = 20 it has only 21 discrete support points (k/20); recomputed by integer error counts, the single-value mode is an error rate of 0.25 (success rate 75%, 30,899 windows), while the 80–85% success band occupies only 19.64% of windows. The earlier-reported "mode interval 0.15–0.20 (success 80–85%)" was a binning-boundary artifact (floating-point merging from interval edges coinciding with support points) and is voided. This descriptive distribution is a distribution of </w:t>
      </w:r>
      <w:r>
        <w:rPr>
          <w:rFonts w:ascii="Calibri" w:hAnsi="Calibri" w:eastAsia="Times New Roman" w:cs="Times New Roman"/>
          <w:i/>
          <w:sz w:val="21"/>
        </w:rPr>
        <w:t>experienced difficulty</w:t>
      </w:r>
      <w:r>
        <w:rPr>
          <w:rFonts w:ascii="Calibri" w:hAnsi="Calibri" w:eastAsia="Times New Roman" w:cs="Times New Roman"/>
          <w:i/>
          <w:sz w:val="21"/>
        </w:rPr>
        <w:t xml:space="preserve">; it does not constitute a test of the 85% rule or of the 80.7% value, and about either this paper says nothing. The preregistered doubly robust (AIPW/DR) off-policy evaluation was executed on 2026-09-24, but </w:t>
      </w:r>
      <w:r>
        <w:rPr>
          <w:rFonts w:ascii="Calibri" w:hAnsi="Calibri" w:eastAsia="Times New Roman" w:cs="Times New Roman"/>
          <w:i/>
          <w:sz w:val="21"/>
        </w:rPr>
        <w:t>it did not pass the preregistered positive-control criterion and its implementation differs from the frozen identification strategy (LF-CIS-2026-09-22); its results are therefore not interpretable</w:t>
      </w:r>
      <w:r>
        <w:rPr>
          <w:rFonts w:ascii="Calibri" w:hAnsi="Calibri" w:eastAsia="Times New Roman" w:cs="Times New Roman"/>
          <w:sz w:val="21"/>
        </w:rPr>
        <w:t>*, and the causal side has been removed from this paper and transferred to the fourth paper (review §2.2, 2026-09-29). This paper makes no point estimate, confidence interval, or test of 15.87%.</w:t>
      </w:r>
    </w:p>
    <w:p>
      <w:pPr>
        <w:spacing w:after="120"/>
      </w:pPr>
      <w:r>
        <w:rPr>
          <w:rFonts w:ascii="Calibri" w:hAnsi="Calibri" w:eastAsia="Times New Roman" w:cs="Times New Roman"/>
          <w:b/>
          <w:sz w:val="21"/>
        </w:rPr>
        <w:t>Keywords</w:t>
      </w:r>
      <w:r>
        <w:rPr>
          <w:rFonts w:ascii="Calibri" w:hAnsi="Calibri" w:eastAsia="Times New Roman" w:cs="Times New Roman"/>
          <w:sz w:val="21"/>
        </w:rPr>
        <w:t>: difficulty measurement; commensurability; instability proposition; quantile linking; expert labels; criterion dependence; optimal error rate; negative results</w:t>
      </w:r>
    </w:p>
    <w:p>
      <w:pPr>
        <w:pStyle w:val="Heading1"/>
        <w:spacing w:before="200" w:after="80"/>
      </w:pPr>
      <w:r>
        <w:rPr>
          <w:rFonts w:ascii="Calibri" w:hAnsi="Calibri" w:eastAsia="Times New Roman" w:cs="Times New Roman"/>
          <w:sz w:val="32"/>
        </w:rPr>
        <w:t>1 Introduction</w:t>
      </w:r>
    </w:p>
    <w:p>
      <w:pPr>
        <w:pStyle w:val="Heading2"/>
        <w:spacing w:before="120" w:after="80"/>
      </w:pPr>
      <w:r>
        <w:rPr>
          <w:rFonts w:ascii="Calibri" w:hAnsi="Calibri" w:eastAsia="Times New Roman" w:cs="Times New Roman"/>
          <w:sz w:val="27"/>
        </w:rPr>
        <w:t>1.1 A skipped question</w:t>
      </w:r>
    </w:p>
    <w:p>
      <w:pPr>
        <w:spacing w:after="120"/>
      </w:pPr>
      <w:r>
        <w:rPr>
          <w:rFonts w:ascii="Calibri" w:hAnsi="Calibri" w:eastAsia="Times New Roman" w:cs="Times New Roman"/>
          <w:sz w:val="21"/>
        </w:rPr>
        <w:t>No adaptive learning system can avoid "what difficulty should the next item have." The standard engineering practice is to normalise several quantities called "difficulty" or "ability"—the mastery probability of knowledge tracing, the memory difficulty of spaced repetition, the ability estimate of competitive rating, the window success rate of recent responses—and then feed them into a weighted sum with hard-coded weights. This practice presupposes that these quantities already live on a comparable scale. As far as the literature we surveyed indicates, this presupposition has never been tested on its own.</w:t>
      </w:r>
    </w:p>
    <w:p>
      <w:pPr>
        <w:spacing w:after="120"/>
      </w:pPr>
      <w:r>
        <w:rPr>
          <w:rFonts w:ascii="Calibri" w:hAnsi="Calibri" w:eastAsia="Times New Roman" w:cs="Times New Roman"/>
          <w:sz w:val="21"/>
        </w:rPr>
        <w:t>The presupposition is suspicious not because the normalisation is done carelessly, but because it is undefined in a measurement-theoretic sense. The weighted-sum operation requires that the addends belong to the same kind of scale on which linear combination is well defined: there is no well-defined addition between ordinal, interval, and ratio scales. When a system adds "mastery probability" and "memory difficulty," it has effectively made an undeclared metric choice, and the consequence of that choice is absorbed into the weights and then misread as the effect of a "difficulty recipe."</w:t>
      </w:r>
    </w:p>
    <w:p>
      <w:pPr>
        <w:spacing w:after="120"/>
      </w:pPr>
      <w:r>
        <w:rPr>
          <w:rFonts w:ascii="Calibri" w:hAnsi="Calibri" w:eastAsia="Times New Roman" w:cs="Times New Roman"/>
          <w:sz w:val="21"/>
        </w:rPr>
        <w:t xml:space="preserve">We name this phenomenon </w:t>
      </w:r>
      <w:r>
        <w:rPr>
          <w:rFonts w:ascii="Calibri" w:hAnsi="Calibri" w:eastAsia="Times New Roman" w:cs="Times New Roman"/>
          <w:b/>
          <w:sz w:val="21"/>
        </w:rPr>
        <w:t>instability</w:t>
      </w:r>
      <w:r>
        <w:rPr>
          <w:rFonts w:ascii="Calibri" w:hAnsi="Calibri" w:eastAsia="Times New Roman" w:cs="Times New Roman"/>
          <w:sz w:val="21"/>
        </w:rPr>
        <w:t xml:space="preserve"> and write it as a falsifiable proposition: when sources are each normalised to [0,1] and then linearly combined, the effective weights defined by marginal contribution drift with any monotone reparameterisation of a single source; whereas if sources are first linked through the empirical CDF to a logit metric and then fused, the effective weights are strictly invariant under any strictly monotone reparameterisation. This contrast is not engineering common sense of the "we did a normalisation" kind, but a computable claim about why current mainstream implementations are measurement-theoretically invalid.</w:t>
      </w:r>
    </w:p>
    <w:p>
      <w:pPr>
        <w:pStyle w:val="Heading2"/>
        <w:spacing w:before="120" w:after="80"/>
      </w:pPr>
      <w:r>
        <w:rPr>
          <w:rFonts w:ascii="Calibri" w:hAnsi="Calibri" w:eastAsia="Times New Roman" w:cs="Times New Roman"/>
          <w:sz w:val="27"/>
        </w:rPr>
        <w:t>1.2 Why this is not a technical detail</w:t>
      </w:r>
    </w:p>
    <w:p>
      <w:pPr>
        <w:spacing w:after="120"/>
      </w:pPr>
      <w:r>
        <w:rPr>
          <w:rFonts w:ascii="Calibri" w:hAnsi="Calibri" w:eastAsia="Times New Roman" w:cs="Times New Roman"/>
          <w:sz w:val="21"/>
        </w:rPr>
        <w:t xml:space="preserve">One may ask: a few decimal points of weight drift—how much does it matter? It matters because it determines the system's interpretability and tunability. If the weight vector "0.45 / 0.35 / 0.20" becomes a different vector once the knowledge-tracing side is changed from </w:t>
      </w:r>
      <w:r>
        <w:rPr>
          <w:rFonts w:ascii="Consolas" w:hAnsi="Consolas" w:eastAsia="Times New Roman" w:cs="Times New Roman"/>
          <w:sz w:val="21"/>
        </w:rPr>
        <w:t>mastery × 9 + 1</w:t>
      </w:r>
      <w:r>
        <w:rPr>
          <w:rFonts w:ascii="Calibri" w:hAnsi="Calibri" w:eastAsia="Times New Roman" w:cs="Times New Roman"/>
          <w:sz w:val="21"/>
        </w:rPr>
        <w:t xml:space="preserve"> to </w:t>
      </w:r>
      <w:r>
        <w:rPr>
          <w:rFonts w:ascii="Consolas" w:hAnsi="Consolas" w:eastAsia="Times New Roman" w:cs="Times New Roman"/>
          <w:sz w:val="21"/>
        </w:rPr>
        <w:t>mastery</w:t>
      </w:r>
      <w:r>
        <w:rPr>
          <w:rFonts w:ascii="Calibri" w:hAnsi="Calibri" w:eastAsia="Times New Roman" w:cs="Times New Roman"/>
          <w:sz w:val="21"/>
        </w:rPr>
        <w:t>, then everything built on this weight vector—every empirical tuning, every A/B conclusion, every claim that "we find mastery should weigh more"—merely describes a particular implementation choice, not difficulty itself. The commensurability problem is therefore not a preparatory technical cleanup but the precondition for whether any subsequent difficulty research can be interpreted.</w:t>
      </w:r>
    </w:p>
    <w:p>
      <w:pPr>
        <w:spacing w:after="120"/>
      </w:pPr>
      <w:r>
        <w:rPr>
          <w:rFonts w:ascii="Calibri" w:hAnsi="Calibri" w:eastAsia="Times New Roman" w:cs="Times New Roman"/>
          <w:sz w:val="21"/>
        </w:rPr>
        <w:t xml:space="preserve">The motivation for this paper is precisely this preconditional nature. The original preregistration expressed this relation as "the measurement goal is the precondition of the causal goal: if the dose itself is not a well-defined difficulty measure, its causal effect cannot be interpreted either." That sentence still holds here, but its practical consequence is more direct than expected: </w:t>
      </w:r>
      <w:r>
        <w:rPr>
          <w:rFonts w:ascii="Calibri" w:hAnsi="Calibri" w:eastAsia="Times New Roman" w:cs="Times New Roman"/>
          <w:b/>
          <w:sz w:val="21"/>
        </w:rPr>
        <w:t>the measurement-side test is complete; the causal side was additionally executed at revision time under a frozen identification strategy (LF-CIS-2026-09-22), yielding a negative result and one significant negative control (see §8.3), rather than causal-grade evidence.</w:t>
      </w:r>
      <w:r>
        <w:rPr>
          <w:rFonts w:ascii="Calibri" w:hAnsi="Calibri" w:eastAsia="Times New Roman" w:cs="Times New Roman"/>
          <w:sz w:val="21"/>
        </w:rPr>
        <w:t xml:space="preserve"> This paper is thus a manuscript that gives complete results on the measurement side and honest negative results on the causal side. This asymmetry is itself information, and we do not hide it.</w:t>
      </w:r>
    </w:p>
    <w:p>
      <w:pPr>
        <w:pStyle w:val="Heading2"/>
        <w:spacing w:before="120" w:after="80"/>
      </w:pPr>
      <w:r>
        <w:rPr>
          <w:rFonts w:ascii="Calibri" w:hAnsi="Calibri" w:eastAsia="Times New Roman" w:cs="Times New Roman"/>
          <w:sz w:val="27"/>
        </w:rPr>
        <w:t>1.3 What this paper does not claim</w:t>
      </w:r>
    </w:p>
    <w:p>
      <w:pPr>
        <w:spacing w:after="120"/>
      </w:pPr>
      <w:r>
        <w:rPr>
          <w:rFonts w:ascii="Calibri" w:hAnsi="Calibri" w:eastAsia="Times New Roman" w:cs="Times New Roman"/>
          <w:sz w:val="21"/>
        </w:rPr>
        <w:t>To prevent readers from inferring contributions from the title by habit, we list four "non-claims" up front:</w:t>
      </w:r>
    </w:p>
    <w:p>
      <w:pPr>
        <w:spacing w:after="120"/>
      </w:pPr>
      <w:r>
        <w:rPr>
          <w:rFonts w:ascii="Calibri" w:hAnsi="Calibri" w:eastAsia="Times New Roman" w:cs="Times New Roman"/>
          <w:b/>
          <w:sz w:val="21"/>
        </w:rPr>
        <w:t>We do not claim</w:t>
      </w:r>
      <w:r>
        <w:rPr>
          <w:rFonts w:ascii="Calibri" w:hAnsi="Calibri" w:eastAsia="Times New Roman" w:cs="Times New Roman"/>
          <w:sz w:val="21"/>
        </w:rPr>
        <w:t xml:space="preserve"> that multi-signal fusion improves the predictive power of difficulty estimation. §7 gives decisive evidence: under holdout validation, fusion is instead worse than success rate alone. Every gain reported in §6 uses the criterion of </w:t>
      </w:r>
      <w:r>
        <w:rPr>
          <w:rFonts w:ascii="Calibri" w:hAnsi="Calibri" w:eastAsia="Times New Roman" w:cs="Times New Roman"/>
          <w:b/>
          <w:sz w:val="21"/>
        </w:rPr>
        <w:t>expert difficulty labels</w:t>
      </w:r>
      <w:r>
        <w:rPr>
          <w:rFonts w:ascii="Calibri" w:hAnsi="Calibri" w:eastAsia="Times New Roman" w:cs="Times New Roman"/>
          <w:sz w:val="21"/>
        </w:rPr>
        <w:t>, so the correct phrasing is "gain in consistency with expert labels."</w:t>
      </w:r>
    </w:p>
    <w:p>
      <w:pPr>
        <w:spacing w:after="120"/>
      </w:pPr>
      <w:r>
        <w:rPr>
          <w:rFonts w:ascii="Calibri" w:hAnsi="Calibri" w:eastAsia="Times New Roman" w:cs="Times New Roman"/>
          <w:b/>
          <w:sz w:val="21"/>
        </w:rPr>
        <w:t>We do not claim</w:t>
      </w:r>
      <w:r>
        <w:rPr>
          <w:rFonts w:ascii="Calibri" w:hAnsi="Calibri" w:eastAsia="Times New Roman" w:cs="Times New Roman"/>
          <w:sz w:val="21"/>
        </w:rPr>
        <w:t xml:space="preserve"> that the optimal error rate equals or differs from 15.87%. §8 reports a descriptive sliding-window error-rate distribution; the preregistered doubly robust (AIPW/DR) off-policy evaluation was executed on 2026-09-24 under a frozen identification strategy, yielding no detected internal optimum and a significant Junyi time-inverted negative control (dose–response readings downgraded to associational evidence, see §8.3), so this paper still makes no assertion of any point estimate or confidence interval for the optimal error rate.</w:t>
      </w:r>
    </w:p>
    <w:p>
      <w:pPr>
        <w:spacing w:after="120"/>
      </w:pPr>
      <w:r>
        <w:rPr>
          <w:rFonts w:ascii="Calibri" w:hAnsi="Calibri" w:eastAsia="Times New Roman" w:cs="Times New Roman"/>
          <w:b/>
          <w:sz w:val="21"/>
        </w:rPr>
        <w:t>We do not claim</w:t>
      </w:r>
      <w:r>
        <w:rPr>
          <w:rFonts w:ascii="Calibri" w:hAnsi="Calibri" w:eastAsia="Times New Roman" w:cs="Times New Roman"/>
          <w:sz w:val="21"/>
        </w:rPr>
        <w:t xml:space="preserve"> that knowledge-tree structure can serve as a difficulty proxy. §5.5 gives a clean small negative result: the knowledge-tree depth vs. empirical difficulty rank correlation is only +0.0785 and non-monotone across strata, and parent–child edge difficulty-gradient consistency is 0.487 (about a coin flip).</w:t>
      </w:r>
    </w:p>
    <w:p>
      <w:pPr>
        <w:spacing w:after="120"/>
      </w:pPr>
      <w:r>
        <w:rPr>
          <w:rFonts w:ascii="Calibri" w:hAnsi="Calibri" w:eastAsia="Times New Roman" w:cs="Times New Roman"/>
          <w:b/>
          <w:sz w:val="21"/>
        </w:rPr>
        <w:t>We do not claim</w:t>
      </w:r>
      <w:r>
        <w:rPr>
          <w:rFonts w:ascii="Calibri" w:hAnsi="Calibri" w:eastAsia="Times New Roman" w:cs="Times New Roman"/>
          <w:sz w:val="21"/>
        </w:rPr>
        <w:t xml:space="preserve"> that the studied system is a special case in difficulty handling. On the contrary, the studied system is a real, built, publicly archived K12 adaptive learning platform (54 gamified intervention mechanisms, 28 learning methods, registry fingerprint </w:t>
      </w:r>
      <w:r>
        <w:rPr>
          <w:rFonts w:ascii="Consolas" w:hAnsi="Consolas" w:eastAsia="Times New Roman" w:cs="Times New Roman"/>
          <w:sz w:val="21"/>
        </w:rPr>
        <w:t>ee1a49be5732</w:t>
      </w:r>
      <w:r>
        <w:rPr>
          <w:rFonts w:ascii="Calibri" w:hAnsi="Calibri" w:eastAsia="Times New Roman" w:cs="Times New Roman"/>
          <w:sz w:val="21"/>
        </w:rPr>
        <w:t>), and its difficulty-fusion code is no different from the common practice of comparable systems. We criticise a class of implementations, not one implementation.</w:t>
      </w:r>
    </w:p>
    <w:p>
      <w:pPr>
        <w:pStyle w:val="Heading2"/>
        <w:spacing w:before="120" w:after="80"/>
      </w:pPr>
      <w:r>
        <w:rPr>
          <w:rFonts w:ascii="Calibri" w:hAnsi="Calibri" w:eastAsia="Times New Roman" w:cs="Times New Roman"/>
          <w:sz w:val="27"/>
        </w:rPr>
        <w:t>1.4 Contributions and main findings</w:t>
      </w:r>
    </w:p>
    <w:p>
      <w:pPr>
        <w:spacing w:after="120"/>
      </w:pPr>
      <w:r>
        <w:rPr>
          <w:rFonts w:ascii="Calibri" w:hAnsi="Calibri" w:eastAsia="Times New Roman" w:cs="Times New Roman"/>
          <w:b/>
          <w:sz w:val="21"/>
        </w:rPr>
        <w:t>Contribution 1: turn "difficulty commensurability" from a design vocabulary into a computable, falsifiable proposition, and quantify how large the violation is.</w:t>
      </w:r>
      <w:r>
        <w:rPr>
          <w:rFonts w:ascii="Calibri" w:hAnsi="Calibri" w:eastAsia="Times New Roman" w:cs="Times New Roman"/>
          <w:sz w:val="21"/>
        </w:rPr>
        <w:t xml:space="preserve"> The side of the proposition stating "effective weights are invariant under the quantile metric" is an </w:t>
      </w:r>
      <w:r>
        <w:rPr>
          <w:rFonts w:ascii="Calibri" w:hAnsi="Calibri" w:eastAsia="Times New Roman" w:cs="Times New Roman"/>
          <w:b/>
          <w:sz w:val="21"/>
        </w:rPr>
        <w:t>analytic identity</w:t>
      </w:r>
      <w:r>
        <w:rPr>
          <w:rFonts w:ascii="Calibri" w:hAnsi="Calibri" w:eastAsia="Times New Roman" w:cs="Times New Roman"/>
          <w:sz w:val="21"/>
        </w:rPr>
        <w:t xml:space="preserve"> (§3.2); we do not treat it as a discovery. What is testable is the other side—</w:t>
      </w:r>
      <w:r>
        <w:rPr>
          <w:rFonts w:ascii="Calibri" w:hAnsi="Calibri" w:eastAsia="Times New Roman" w:cs="Times New Roman"/>
          <w:b/>
          <w:sz w:val="21"/>
        </w:rPr>
        <w:t>how far linear min-max fusion violates this identity</w:t>
      </w:r>
      <w:r>
        <w:rPr>
          <w:rFonts w:ascii="Calibri" w:hAnsi="Calibri" w:eastAsia="Times New Roman" w:cs="Times New Roman"/>
          <w:sz w:val="21"/>
        </w:rPr>
        <w:t>. The synthetic experiment (§4) gives the complete numeric picture: under the linear [0,1] metric affine drift is exactly 0, nonlinear monotone drift is L1 = 0.1276, 36.4% of cells show rank reversal, and the strongest counterexample completely reverses sign; under the quantile-logit metric drift is 0 under shared calibration and only 0.016 sampling noise under independent calibration. Real data (§5.3) gives the engineering-landing evidence: on assist09 linear fusion drifts L1 = 0.5357, which falls to 0.0001 after switching to the quantile metric, with rank reversals eliminated.</w:t>
      </w:r>
    </w:p>
    <w:p>
      <w:pPr>
        <w:spacing w:after="120"/>
      </w:pPr>
      <w:r>
        <w:rPr>
          <w:rFonts w:ascii="Calibri" w:hAnsi="Calibri" w:eastAsia="Times New Roman" w:cs="Times New Roman"/>
          <w:b/>
          <w:sz w:val="21"/>
        </w:rPr>
        <w:t>Contribution 2: give the distance between the "expert-annotation / behavioural-evidence" two systems of difficulty evidence, and re-evaluate the value of multi-signal fusion accordingly.</w:t>
      </w:r>
      <w:r>
        <w:rPr>
          <w:rFonts w:ascii="Calibri" w:hAnsi="Calibri" w:eastAsia="Times New Roman" w:cs="Times New Roman"/>
          <w:sz w:val="21"/>
        </w:rPr>
        <w:t xml:space="preserve"> On DBE-KT22 the rank correlation between expert and empirical difficulty is only 0.2207 (p = 0.0012); switching to a joint IRT-1PL estimator raises it merely to 0.2300—the bottleneck is not the estimator. But equal-weight fusion of five behavioural signals in the quantile metric rises to 0.2918, and optimised weights reach 0.5240 ± 0.1069 under repeated 5-fold ×10 cross-validation. The mechanism is located in a differential feature: self-reported difficulty and trust correlate at +0.94 at the item level (Pearson), while in quantile space "trust reversed" vs. self-reported difficulty correlate at −0.80; subtracting the two cancels the common-mode noise.</w:t>
      </w:r>
    </w:p>
    <w:p>
      <w:pPr>
        <w:spacing w:after="120"/>
      </w:pPr>
      <w:r>
        <w:rPr>
          <w:rFonts w:ascii="Calibri" w:hAnsi="Calibri" w:eastAsia="Times New Roman" w:cs="Times New Roman"/>
          <w:b/>
          <w:sz w:val="21"/>
        </w:rPr>
        <w:t>Contribution 3: give a set of negative results via criterion switching, and locate one real directional error.</w:t>
      </w:r>
      <w:r>
        <w:rPr>
          <w:rFonts w:ascii="Calibri" w:hAnsi="Calibri" w:eastAsia="Times New Roman" w:cs="Times New Roman"/>
          <w:sz w:val="21"/>
        </w:rPr>
        <w:t xml:space="preserve"> The rank correlation between expert labels and real-performance difficulty is only 0.4326 (§7.1); after switching the criterion to "real performance on unseen samples," equal-weight fusion is worse than success rate alone at </w:t>
      </w:r>
      <w:r>
        <w:rPr>
          <w:rFonts w:ascii="Calibri" w:hAnsi="Calibri" w:eastAsia="Times New Roman" w:cs="Times New Roman"/>
          <w:b/>
          <w:sz w:val="21"/>
        </w:rPr>
        <w:t>every</w:t>
      </w:r>
      <w:r>
        <w:rPr>
          <w:rFonts w:ascii="Calibri" w:hAnsi="Calibri" w:eastAsia="Times New Roman" w:cs="Times New Roman"/>
          <w:sz w:val="21"/>
        </w:rPr>
        <w:t xml:space="preserve"> sample-size bracket on both Junyi and DBE, with fusion win rate 0.00 (§7.2). We further locate that the upgrade rate correlates −0.1837 with expert labels and −0.756 in-pool, yet the optimiser assigned it a </w:t>
      </w:r>
      <w:r>
        <w:rPr>
          <w:rFonts w:ascii="Calibri" w:hAnsi="Calibri" w:eastAsia="Times New Roman" w:cs="Times New Roman"/>
          <w:b/>
          <w:sz w:val="21"/>
        </w:rPr>
        <w:t>positive weight</w:t>
      </w:r>
      <w:r>
        <w:rPr>
          <w:rFonts w:ascii="Calibri" w:hAnsi="Calibri" w:eastAsia="Times New Roman" w:cs="Times New Roman"/>
          <w:sz w:val="21"/>
        </w:rPr>
        <w:t xml:space="preserve"> +0.154; after removing this signal and introducing sample-size-adaptive shrinkage, the small-sample bracket first overtakes (k = 10: +3.43 percentage points), but the gain decays below 0.22 pp for k ≥ 100; the correct phrasing for "fusion gain" is gain in consistency with expert labels, not predictive-power improvement (§7.2). The validity gap of record-level holdout is separately closed by student-level holdout validation, with unchanged conclusions (§7.6). On this basis, §7.8 reports two optimisations of the fusion estimator: changing a directionally wrong signal from "drop the whole column" to "sign-correct," and adding per-signal split-half-reliability weighting (</w:t>
      </w:r>
      <w:r>
        <w:rPr>
          <w:rFonts w:ascii="Consolas" w:hAnsi="Consolas" w:eastAsia="Times New Roman" w:cs="Times New Roman"/>
          <w:sz w:val="21"/>
        </w:rPr>
        <w:t>srw7</w:t>
      </w:r>
      <w:r>
        <w:rPr>
          <w:rFonts w:ascii="Calibri" w:hAnsi="Calibri" w:eastAsia="Times New Roman" w:cs="Times New Roman"/>
          <w:sz w:val="21"/>
        </w:rPr>
        <w:t xml:space="preserve">). Under both record-level and student-level double holdout, </w:t>
      </w:r>
      <w:r>
        <w:rPr>
          <w:rFonts w:ascii="Consolas" w:hAnsi="Consolas" w:eastAsia="Times New Roman" w:cs="Times New Roman"/>
          <w:sz w:val="21"/>
        </w:rPr>
        <w:t>srw7</w:t>
      </w:r>
      <w:r>
        <w:rPr>
          <w:rFonts w:ascii="Calibri" w:hAnsi="Calibri" w:eastAsia="Times New Roman" w:cs="Times New Roman"/>
          <w:sz w:val="21"/>
        </w:rPr>
        <w:t xml:space="preserve"> is non-inferior to the "success-rate-only" baseline at every sample-size bracket and exceeds fused6 at all brackets; at the student level </w:t>
      </w:r>
      <w:r>
        <w:rPr>
          <w:rFonts w:ascii="Consolas" w:hAnsi="Consolas" w:eastAsia="Times New Roman" w:cs="Times New Roman"/>
          <w:sz w:val="21"/>
        </w:rPr>
        <w:t>srw7</w:t>
      </w:r>
      <w:r>
        <w:rPr>
          <w:rFonts w:ascii="Calibri" w:hAnsi="Calibri" w:eastAsia="Times New Roman" w:cs="Times New Roman"/>
          <w:sz w:val="21"/>
        </w:rPr>
        <w:t xml:space="preserve"> has paired win rate 0.902–1.000 against fused6, with Wilcoxon signed-rank p ≤ 1.29 × 10⁻⁶⁶. This also shows that O8's "drop the upgrade rate," though directionally correct, discards the signal's effective information and is not the optimal handling.</w:t>
      </w:r>
    </w:p>
    <w:p>
      <w:pPr>
        <w:spacing w:after="120"/>
      </w:pPr>
      <w:r>
        <w:rPr>
          <w:rFonts w:ascii="Calibri" w:hAnsi="Calibri" w:eastAsia="Times New Roman" w:cs="Times New Roman"/>
          <w:b/>
          <w:sz w:val="21"/>
        </w:rPr>
        <w:t>Contribution 4: delimit the scope of the above conclusions across systems.</w:t>
      </w:r>
      <w:r>
        <w:rPr>
          <w:rFonts w:ascii="Calibri" w:hAnsi="Calibri" w:eastAsia="Times New Roman" w:cs="Times New Roman"/>
          <w:sz w:val="21"/>
        </w:rPr>
        <w:t xml:space="preserve"> The four datasets cover three different evidence regimes: DBE-KT22 has expert annotation and student self-report; Junyi has expert annotation but no feedback; XES3G5M has full item text and a knowledge tree but no expert difficulty; assist09 has hint use and multi-skill annotation. The fusion gain reproduces at the same order on DBE and Junyi (+31% and +39%), showing it is not a single-system artifact; but the λ-shrinkage gain is verified only on Junyi, with no gain on DBE—we report this non-reproduction honestly.</w:t>
      </w:r>
    </w:p>
    <w:p>
      <w:pPr>
        <w:pStyle w:val="Heading2"/>
        <w:spacing w:before="120" w:after="80"/>
      </w:pPr>
      <w:r>
        <w:rPr>
          <w:rFonts w:ascii="Calibri" w:hAnsi="Calibri" w:eastAsia="Times New Roman" w:cs="Times New Roman"/>
          <w:sz w:val="27"/>
        </w:rPr>
        <w:t>1.5 Structure and reproducibility</w:t>
      </w:r>
    </w:p>
    <w:p>
      <w:pPr>
        <w:spacing w:after="120"/>
      </w:pPr>
      <w:r>
        <w:rPr>
          <w:rFonts w:ascii="Calibri" w:hAnsi="Calibri" w:eastAsia="Times New Roman" w:cs="Times New Roman"/>
          <w:sz w:val="21"/>
        </w:rPr>
        <w:t>§2 reviews related work; §3 formalises the typology of difficulty sources and the instability proposition; §4 reports the proposition's validation on synthetic data; §5 reports the metric repair on real data and two negative results; §6 reports the gain of multi-signal fusion under the expert-label criterion; §7 switches the criterion and reports the conclusion reversal, the directional error, the sample-size-adaptive shrinkage, and the leave-one-k cross-validation (in-interval interpolation) test of that shrinkage formula plus student-level holdout validation; §8 reports the descriptive evidence on the optimal error rate and the unfinished causal identification; §9 discusses implications, code landing, and limitations; §10 lists the honest gap inventory; §11 concludes.</w:t>
      </w:r>
    </w:p>
    <w:p>
      <w:pPr>
        <w:spacing w:after="120"/>
      </w:pPr>
      <w:r>
        <w:rPr>
          <w:rFonts w:ascii="Calibri" w:hAnsi="Calibri" w:eastAsia="Times New Roman" w:cs="Times New Roman"/>
          <w:b/>
          <w:sz w:val="21"/>
        </w:rPr>
        <w:t>Scope note on the title.</w:t>
      </w:r>
      <w:r>
        <w:rPr>
          <w:rFonts w:ascii="Calibri" w:hAnsi="Calibri" w:eastAsia="Times New Roman" w:cs="Times New Roman"/>
          <w:sz w:val="21"/>
        </w:rPr>
        <w:t xml:space="preserve"> The real-data test of the instability proposition (C1) is in fact carried out at only </w:t>
      </w:r>
      <w:r>
        <w:rPr>
          <w:rFonts w:ascii="Calibri" w:hAnsi="Calibri" w:eastAsia="Times New Roman" w:cs="Times New Roman"/>
          <w:b/>
          <w:sz w:val="21"/>
        </w:rPr>
        <w:t>one</w:t>
      </w:r>
      <w:r>
        <w:rPr>
          <w:rFonts w:ascii="Calibri" w:hAnsi="Calibri" w:eastAsia="Times New Roman" w:cs="Times New Roman"/>
          <w:sz w:val="21"/>
        </w:rPr>
        <w:t xml:space="preserve"> real system, assist09 (994 items, §5.3); the Junyi, DBE-KT22, and XES3G5M datasets bear the multi-signal-fusion consistency experiment, the expert-annotation experiment, and the knowledge-tree / ordered-transition experiment, and do </w:t>
      </w:r>
      <w:r>
        <w:rPr>
          <w:rFonts w:ascii="Calibri" w:hAnsi="Calibri" w:eastAsia="Times New Roman" w:cs="Times New Roman"/>
          <w:b/>
          <w:sz w:val="21"/>
        </w:rPr>
        <w:t>not</w:t>
      </w:r>
      <w:r>
        <w:rPr>
          <w:rFonts w:ascii="Calibri" w:hAnsi="Calibri" w:eastAsia="Times New Roman" w:cs="Times New Roman"/>
          <w:sz w:val="21"/>
        </w:rPr>
        <w:t xml:space="preserve"> constitute a test of proposition C1. The title is narrowed to the proposition's test scope; the roles of the other datasets are stated honestly in the Abstract and the §5 data tables.</w:t>
      </w:r>
    </w:p>
    <w:p>
      <w:pPr>
        <w:spacing w:after="120"/>
      </w:pPr>
      <w:r>
        <w:rPr>
          <w:rFonts w:ascii="Calibri" w:hAnsi="Calibri" w:eastAsia="Times New Roman" w:cs="Times New Roman"/>
          <w:b/>
          <w:sz w:val="21"/>
        </w:rPr>
        <w:t>Reproducibility note.</w:t>
      </w:r>
      <w:r>
        <w:rPr>
          <w:rFonts w:ascii="Calibri" w:hAnsi="Calibri" w:eastAsia="Times New Roman" w:cs="Times New Roman"/>
          <w:sz w:val="21"/>
        </w:rPr>
        <w:t xml:space="preserve"> Every number in this paper is produced by the scripts under </w:t>
      </w:r>
      <w:r>
        <w:rPr>
          <w:rFonts w:ascii="Consolas" w:hAnsi="Consolas" w:eastAsia="Times New Roman" w:cs="Times New Roman"/>
          <w:sz w:val="21"/>
        </w:rPr>
        <w:t>results/code/</w:t>
      </w:r>
      <w:r>
        <w:rPr>
          <w:rFonts w:ascii="Calibri" w:hAnsi="Calibri" w:eastAsia="Times New Roman" w:cs="Times New Roman"/>
          <w:sz w:val="21"/>
        </w:rPr>
        <w:t xml:space="preserve">, deterministically or with fixed seeds: </w:t>
      </w:r>
      <w:r>
        <w:rPr>
          <w:rFonts w:ascii="Consolas" w:hAnsi="Consolas" w:eastAsia="Times New Roman" w:cs="Times New Roman"/>
          <w:sz w:val="21"/>
        </w:rPr>
        <w:t>results/code/m1_instability.py</w:t>
      </w:r>
      <w:r>
        <w:rPr>
          <w:rFonts w:ascii="Calibri" w:hAnsi="Calibri" w:eastAsia="Times New Roman" w:cs="Times New Roman"/>
          <w:sz w:val="21"/>
        </w:rPr>
        <w:t xml:space="preserve"> (synthetic, seed </w:t>
      </w:r>
      <w:r>
        <w:rPr>
          <w:rFonts w:ascii="Consolas" w:hAnsi="Consolas" w:eastAsia="Times New Roman" w:cs="Times New Roman"/>
          <w:sz w:val="21"/>
        </w:rPr>
        <w:t>902000+r</w:t>
      </w:r>
      <w:r>
        <w:rPr>
          <w:rFonts w:ascii="Calibri" w:hAnsi="Calibri" w:eastAsia="Times New Roman" w:cs="Times New Roman"/>
          <w:sz w:val="21"/>
        </w:rPr>
        <w:t xml:space="preserve">), </w:t>
      </w:r>
      <w:r>
        <w:rPr>
          <w:rFonts w:ascii="Consolas" w:hAnsi="Consolas" w:eastAsia="Times New Roman" w:cs="Times New Roman"/>
          <w:sz w:val="21"/>
        </w:rPr>
        <w:t>m1_real_data.py</w:t>
      </w:r>
      <w:r>
        <w:rPr>
          <w:rFonts w:ascii="Calibri" w:hAnsi="Calibri" w:eastAsia="Times New Roman" w:cs="Times New Roman"/>
          <w:sz w:val="21"/>
        </w:rPr>
        <w:t xml:space="preserve">, </w:t>
      </w:r>
      <w:r>
        <w:rPr>
          <w:rFonts w:ascii="Consolas" w:hAnsi="Consolas" w:eastAsia="Times New Roman" w:cs="Times New Roman"/>
          <w:sz w:val="21"/>
        </w:rPr>
        <w:t>optimized_experiments.py</w:t>
      </w:r>
      <w:r>
        <w:rPr>
          <w:rFonts w:ascii="Calibri" w:hAnsi="Calibri" w:eastAsia="Times New Roman" w:cs="Times New Roman"/>
          <w:sz w:val="21"/>
        </w:rPr>
        <w:t xml:space="preserve">, </w:t>
      </w:r>
      <w:r>
        <w:rPr>
          <w:rFonts w:ascii="Consolas" w:hAnsi="Consolas" w:eastAsia="Times New Roman" w:cs="Times New Roman"/>
          <w:sz w:val="21"/>
        </w:rPr>
        <w:t>o4_fusion.py</w:t>
      </w:r>
      <w:r>
        <w:rPr>
          <w:rFonts w:ascii="Calibri" w:hAnsi="Calibri" w:eastAsia="Times New Roman" w:cs="Times New Roman"/>
          <w:sz w:val="21"/>
        </w:rPr>
        <w:t xml:space="preserve">, </w:t>
      </w:r>
      <w:r>
        <w:rPr>
          <w:rFonts w:ascii="Consolas" w:hAnsi="Consolas" w:eastAsia="Times New Roman" w:cs="Times New Roman"/>
          <w:sz w:val="21"/>
        </w:rPr>
        <w:t>o4b_fusion.py</w:t>
      </w:r>
      <w:r>
        <w:rPr>
          <w:rFonts w:ascii="Calibri" w:hAnsi="Calibri" w:eastAsia="Times New Roman" w:cs="Times New Roman"/>
          <w:sz w:val="21"/>
        </w:rPr>
        <w:t xml:space="preserve">, </w:t>
      </w:r>
      <w:r>
        <w:rPr>
          <w:rFonts w:ascii="Consolas" w:hAnsi="Consolas" w:eastAsia="Times New Roman" w:cs="Times New Roman"/>
          <w:sz w:val="21"/>
        </w:rPr>
        <w:t>o5_junyi_fusion.py</w:t>
      </w:r>
      <w:r>
        <w:rPr>
          <w:rFonts w:ascii="Calibri" w:hAnsi="Calibri" w:eastAsia="Times New Roman" w:cs="Times New Roman"/>
          <w:sz w:val="21"/>
        </w:rPr>
        <w:t xml:space="preserve">, </w:t>
      </w:r>
      <w:r>
        <w:rPr>
          <w:rFonts w:ascii="Consolas" w:hAnsi="Consolas" w:eastAsia="Times New Roman" w:cs="Times New Roman"/>
          <w:sz w:val="21"/>
        </w:rPr>
        <w:t>build_difficulty_cache.py</w:t>
      </w:r>
      <w:r>
        <w:rPr>
          <w:rFonts w:ascii="Calibri" w:hAnsi="Calibri" w:eastAsia="Times New Roman" w:cs="Times New Roman"/>
          <w:sz w:val="21"/>
        </w:rPr>
        <w:t xml:space="preserve">, </w:t>
      </w:r>
      <w:r>
        <w:rPr>
          <w:rFonts w:ascii="Consolas" w:hAnsi="Consolas" w:eastAsia="Times New Roman" w:cs="Times New Roman"/>
          <w:sz w:val="21"/>
        </w:rPr>
        <w:t>o6_difficulty_stats.py</w:t>
      </w:r>
      <w:r>
        <w:rPr>
          <w:rFonts w:ascii="Calibri" w:hAnsi="Calibri" w:eastAsia="Times New Roman" w:cs="Times New Roman"/>
          <w:sz w:val="21"/>
        </w:rPr>
        <w:t xml:space="preserve">, </w:t>
      </w:r>
      <w:r>
        <w:rPr>
          <w:rFonts w:ascii="Consolas" w:hAnsi="Consolas" w:eastAsia="Times New Roman" w:cs="Times New Roman"/>
          <w:sz w:val="21"/>
        </w:rPr>
        <w:t>o7_holdout_validation.py</w:t>
      </w:r>
      <w:r>
        <w:rPr>
          <w:rFonts w:ascii="Calibri" w:hAnsi="Calibri" w:eastAsia="Times New Roman" w:cs="Times New Roman"/>
          <w:sz w:val="21"/>
        </w:rPr>
        <w:t xml:space="preserve">, </w:t>
      </w:r>
      <w:r>
        <w:rPr>
          <w:rFonts w:ascii="Consolas" w:hAnsi="Consolas" w:eastAsia="Times New Roman" w:cs="Times New Roman"/>
          <w:sz w:val="21"/>
        </w:rPr>
        <w:t>o8_fusion_variants.py</w:t>
      </w:r>
      <w:r>
        <w:rPr>
          <w:rFonts w:ascii="Calibri" w:hAnsi="Calibri" w:eastAsia="Times New Roman" w:cs="Times New Roman"/>
          <w:sz w:val="21"/>
        </w:rPr>
        <w:t xml:space="preserve">, </w:t>
      </w:r>
      <w:r>
        <w:rPr>
          <w:rFonts w:ascii="Consolas" w:hAnsi="Consolas" w:eastAsia="Times New Roman" w:cs="Times New Roman"/>
          <w:sz w:val="21"/>
        </w:rPr>
        <w:t>o9_lambda_generalization.py</w:t>
      </w:r>
      <w:r>
        <w:rPr>
          <w:rFonts w:ascii="Calibri" w:hAnsi="Calibri" w:eastAsia="Times New Roman" w:cs="Times New Roman"/>
          <w:sz w:val="21"/>
        </w:rPr>
        <w:t xml:space="preserve">, </w:t>
      </w:r>
      <w:r>
        <w:rPr>
          <w:rFonts w:ascii="Consolas" w:hAnsi="Consolas" w:eastAsia="Times New Roman" w:cs="Times New Roman"/>
          <w:sz w:val="21"/>
        </w:rPr>
        <w:t>o10_user_holdout.py</w:t>
      </w:r>
      <w:r>
        <w:rPr>
          <w:rFonts w:ascii="Calibri" w:hAnsi="Calibri" w:eastAsia="Times New Roman" w:cs="Times New Roman"/>
          <w:sz w:val="21"/>
        </w:rPr>
        <w:t xml:space="preserve">, and the causal-side </w:t>
      </w:r>
      <w:r>
        <w:rPr>
          <w:rFonts w:ascii="Consolas" w:hAnsi="Consolas" w:eastAsia="Times New Roman" w:cs="Times New Roman"/>
          <w:sz w:val="21"/>
        </w:rPr>
        <w:t>results/m1/aipw/aipw_run.py</w:t>
      </w:r>
      <w:r>
        <w:rPr>
          <w:rFonts w:ascii="Calibri" w:hAnsi="Calibri" w:eastAsia="Times New Roman" w:cs="Times New Roman"/>
          <w:sz w:val="21"/>
        </w:rPr>
        <w:t xml:space="preserve"> (added 2026-09-24; main analysis W=20 and window-width robustness W=10/40, three runs, outputs </w:t>
      </w:r>
      <w:r>
        <w:rPr>
          <w:rFonts w:ascii="Consolas" w:hAnsi="Consolas" w:eastAsia="Times New Roman" w:cs="Times New Roman"/>
          <w:sz w:val="21"/>
        </w:rPr>
        <w:t>aipw_results*.json</w:t>
      </w:r>
      <w:r>
        <w:rPr>
          <w:rFonts w:ascii="Calibri" w:hAnsi="Calibri" w:eastAsia="Times New Roman" w:cs="Times New Roman"/>
          <w:sz w:val="21"/>
        </w:rPr>
        <w:t xml:space="preserve"> and the trace </w:t>
      </w:r>
      <w:r>
        <w:rPr>
          <w:rFonts w:ascii="Consolas" w:hAnsi="Consolas" w:eastAsia="Times New Roman" w:cs="Times New Roman"/>
          <w:sz w:val="21"/>
        </w:rPr>
        <w:t>aipw_audit.log</w:t>
      </w:r>
      <w:r>
        <w:rPr>
          <w:rFonts w:ascii="Calibri" w:hAnsi="Calibri" w:eastAsia="Times New Roman" w:cs="Times New Roman"/>
          <w:sz w:val="21"/>
        </w:rPr>
        <w:t xml:space="preserve">). Raw products are the same-named </w:t>
      </w:r>
      <w:r>
        <w:rPr>
          <w:rFonts w:ascii="Consolas" w:hAnsi="Consolas" w:eastAsia="Times New Roman" w:cs="Times New Roman"/>
          <w:sz w:val="21"/>
        </w:rPr>
        <w:t>.json</w:t>
      </w:r>
      <w:r>
        <w:rPr>
          <w:rFonts w:ascii="Calibri" w:hAnsi="Calibri" w:eastAsia="Times New Roman" w:cs="Times New Roman"/>
          <w:sz w:val="21"/>
        </w:rPr>
        <w:t>. We do not recompute, re-estimate, or backfill any unexecuted experiment.</w:t>
      </w:r>
    </w:p>
    <w:p>
      <w:pPr>
        <w:spacing w:after="120"/>
      </w:pPr>
      <w:r>
        <w:rPr>
          <w:rFonts w:ascii="Calibri" w:hAnsi="Calibri" w:eastAsia="Times New Roman" w:cs="Times New Roman"/>
          <w:b/>
          <w:sz w:val="21"/>
        </w:rPr>
        <w:t>Random-seed table.</w:t>
      </w:r>
      <w:r>
        <w:rPr>
          <w:rFonts w:ascii="Calibri" w:hAnsi="Calibri" w:eastAsia="Times New Roman" w:cs="Times New Roman"/>
          <w:sz w:val="21"/>
        </w:rPr>
        <w:t xml:space="preserve"> The concrete fixed-seed values referenced above (line numbers point to the statement position within each script):</w:t>
      </w:r>
    </w:p>
    <w:p>
      <w:pPr>
        <w:spacing w:after="120"/>
      </w:pPr>
      <w:r>
        <w:rPr>
          <w:rFonts w:ascii="Calibri" w:hAnsi="Calibri" w:eastAsia="Times New Roman" w:cs="Times New Roman"/>
          <w:b/>
          <w:sz w:val="21"/>
        </w:rPr>
        <w:t>Table 1. Random seeds and the random steps they affect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Script</w:t>
            </w:r>
          </w:p>
        </w:tc>
        <w:tc>
          <w:tcPr>
            <w:tcW w:type="dxa" w:w="4413"/>
            <w:shd w:val="clear" w:color="auto" w:fill="DDDDDD"/>
          </w:tcPr>
          <w:p>
            <w:r>
              <w:rPr>
                <w:b/>
              </w:rPr>
            </w:r>
            <w:r>
              <w:rPr>
                <w:rFonts w:ascii="Calibri" w:hAnsi="Calibri" w:eastAsia="Times New Roman" w:cs="Times New Roman"/>
                <w:b/>
                <w:sz w:val="19"/>
              </w:rPr>
              <w:t>Random seed</w:t>
            </w:r>
          </w:p>
        </w:tc>
        <w:tc>
          <w:tcPr>
            <w:tcW w:type="dxa" w:w="4413"/>
            <w:shd w:val="clear" w:color="auto" w:fill="DDDDDD"/>
          </w:tcPr>
          <w:p>
            <w:r>
              <w:rPr>
                <w:b/>
              </w:rPr>
            </w:r>
            <w:r>
              <w:rPr>
                <w:rFonts w:ascii="Calibri" w:hAnsi="Calibri" w:eastAsia="Times New Roman" w:cs="Times New Roman"/>
                <w:b/>
                <w:sz w:val="19"/>
              </w:rPr>
              <w:t>Affected random step</w:t>
            </w:r>
          </w:p>
        </w:tc>
      </w:tr>
      <w:tr>
        <w:tc>
          <w:tcPr>
            <w:tcW w:type="dxa" w:w="4413"/>
          </w:tcPr>
          <w:p>
            <w:r/>
            <w:r>
              <w:rPr>
                <w:rFonts w:ascii="Consolas" w:hAnsi="Consolas" w:eastAsia="Times New Roman" w:cs="Times New Roman"/>
                <w:sz w:val="19"/>
              </w:rPr>
              <w:t>results/code/m1_instability.py</w:t>
            </w:r>
          </w:p>
        </w:tc>
        <w:tc>
          <w:tcPr>
            <w:tcW w:type="dxa" w:w="4413"/>
          </w:tcPr>
          <w:p>
            <w:r/>
            <w:r>
              <w:rPr>
                <w:rFonts w:ascii="Consolas" w:hAnsi="Consolas" w:eastAsia="Times New Roman" w:cs="Times New Roman"/>
                <w:sz w:val="19"/>
              </w:rPr>
              <w:t>902000 + r</w:t>
            </w:r>
            <w:r>
              <w:rPr>
                <w:rFonts w:ascii="Calibri" w:hAnsi="Calibri" w:eastAsia="Times New Roman" w:cs="Times New Roman"/>
                <w:sz w:val="19"/>
              </w:rPr>
              <w:t xml:space="preserve"> (r = repeat index)</w:t>
            </w:r>
          </w:p>
        </w:tc>
        <w:tc>
          <w:tcPr>
            <w:tcW w:type="dxa" w:w="4413"/>
          </w:tcPr>
          <w:p>
            <w:r/>
            <w:r>
              <w:rPr>
                <w:rFonts w:ascii="Calibri" w:hAnsi="Calibri" w:eastAsia="Times New Roman" w:cs="Times New Roman"/>
                <w:sz w:val="19"/>
              </w:rPr>
              <w:t>resampling and repeats of synthetic data</w:t>
            </w:r>
          </w:p>
        </w:tc>
      </w:tr>
      <w:tr>
        <w:tc>
          <w:tcPr>
            <w:tcW w:type="dxa" w:w="4413"/>
          </w:tcPr>
          <w:p>
            <w:r/>
            <w:r>
              <w:rPr>
                <w:rFonts w:ascii="Consolas" w:hAnsi="Consolas" w:eastAsia="Times New Roman" w:cs="Times New Roman"/>
                <w:sz w:val="19"/>
              </w:rPr>
              <w:t>results/code/m1_real_data.py</w:t>
            </w:r>
          </w:p>
        </w:tc>
        <w:tc>
          <w:tcPr>
            <w:tcW w:type="dxa" w:w="4413"/>
          </w:tcPr>
          <w:p>
            <w:r/>
            <w:r>
              <w:rPr>
                <w:rFonts w:ascii="Consolas" w:hAnsi="Consolas" w:eastAsia="Times New Roman" w:cs="Times New Roman"/>
                <w:sz w:val="19"/>
              </w:rPr>
              <w:t>20260922</w:t>
            </w:r>
            <w:r>
              <w:rPr>
                <w:rFonts w:ascii="Calibri" w:hAnsi="Calibri" w:eastAsia="Times New Roman" w:cs="Times New Roman"/>
                <w:sz w:val="19"/>
              </w:rPr>
              <w:t xml:space="preserve"> (</w:t>
            </w:r>
            <w:r>
              <w:rPr>
                <w:rFonts w:ascii="Consolas" w:hAnsi="Consolas" w:eastAsia="Times New Roman" w:cs="Times New Roman"/>
                <w:sz w:val="19"/>
              </w:rPr>
              <w:t>:72</w:t>
            </w:r>
            <w:r>
              <w:rPr>
                <w:rFonts w:ascii="Calibri" w:hAnsi="Calibri" w:eastAsia="Times New Roman" w:cs="Times New Roman"/>
                <w:sz w:val="19"/>
              </w:rPr>
              <w:t xml:space="preserve">, </w:t>
            </w:r>
            <w:r>
              <w:rPr>
                <w:rFonts w:ascii="Consolas" w:hAnsi="Consolas" w:eastAsia="Times New Roman" w:cs="Times New Roman"/>
                <w:sz w:val="19"/>
              </w:rPr>
              <w:t>np.random.default_rng</w:t>
            </w:r>
            <w:r>
              <w:rPr>
                <w:rFonts w:ascii="Calibri" w:hAnsi="Calibri" w:eastAsia="Times New Roman" w:cs="Times New Roman"/>
                <w:sz w:val="19"/>
              </w:rPr>
              <w:t>)</w:t>
            </w:r>
          </w:p>
        </w:tc>
        <w:tc>
          <w:tcPr>
            <w:tcW w:type="dxa" w:w="4413"/>
          </w:tcPr>
          <w:p>
            <w:r/>
            <w:r>
              <w:rPr>
                <w:rFonts w:ascii="Calibri" w:hAnsi="Calibri" w:eastAsia="Times New Roman" w:cs="Times New Roman"/>
                <w:sz w:val="19"/>
              </w:rPr>
              <w:t>reservoir / reshuffle of real-data experiment</w:t>
            </w:r>
          </w:p>
        </w:tc>
      </w:tr>
      <w:tr>
        <w:tc>
          <w:tcPr>
            <w:tcW w:type="dxa" w:w="4413"/>
          </w:tcPr>
          <w:p>
            <w:r/>
            <w:r>
              <w:rPr>
                <w:rFonts w:ascii="Consolas" w:hAnsi="Consolas" w:eastAsia="Times New Roman" w:cs="Times New Roman"/>
                <w:sz w:val="19"/>
              </w:rPr>
              <w:t>results/code/o9_lambda_generalization.py</w:t>
            </w:r>
          </w:p>
        </w:tc>
        <w:tc>
          <w:tcPr>
            <w:tcW w:type="dxa" w:w="4413"/>
          </w:tcPr>
          <w:p>
            <w:r/>
            <w:r>
              <w:rPr>
                <w:rFonts w:ascii="Consolas" w:hAnsi="Consolas" w:eastAsia="Times New Roman" w:cs="Times New Roman"/>
                <w:sz w:val="19"/>
              </w:rPr>
              <w:t>20260913</w:t>
            </w:r>
            <w:r>
              <w:rPr>
                <w:rFonts w:ascii="Calibri" w:hAnsi="Calibri" w:eastAsia="Times New Roman" w:cs="Times New Roman"/>
                <w:sz w:val="19"/>
              </w:rPr>
              <w:t xml:space="preserve"> (</w:t>
            </w:r>
            <w:r>
              <w:rPr>
                <w:rFonts w:ascii="Consolas" w:hAnsi="Consolas" w:eastAsia="Times New Roman" w:cs="Times New Roman"/>
                <w:sz w:val="19"/>
              </w:rPr>
              <w:t>:76</w:t>
            </w:r>
            <w:r>
              <w:rPr>
                <w:rFonts w:ascii="Calibri" w:hAnsi="Calibri" w:eastAsia="Times New Roman" w:cs="Times New Roman"/>
                <w:sz w:val="19"/>
              </w:rPr>
              <w:t xml:space="preserve">, </w:t>
            </w:r>
            <w:r>
              <w:rPr>
                <w:rFonts w:ascii="Consolas" w:hAnsi="Consolas" w:eastAsia="Times New Roman" w:cs="Times New Roman"/>
                <w:sz w:val="19"/>
              </w:rPr>
              <w:t>:192</w:t>
            </w:r>
            <w:r>
              <w:rPr>
                <w:rFonts w:ascii="Calibri" w:hAnsi="Calibri" w:eastAsia="Times New Roman" w:cs="Times New Roman"/>
                <w:sz w:val="19"/>
              </w:rPr>
              <w:t>)</w:t>
            </w:r>
          </w:p>
        </w:tc>
        <w:tc>
          <w:tcPr>
            <w:tcW w:type="dxa" w:w="4413"/>
          </w:tcPr>
          <w:p>
            <w:r/>
            <w:r>
              <w:rPr>
                <w:rFonts w:ascii="Calibri" w:hAnsi="Calibri" w:eastAsia="Times New Roman" w:cs="Times New Roman"/>
                <w:sz w:val="19"/>
              </w:rPr>
              <w:t>in-pool sampling of λ*(k) leave-one-k cross-validation</w:t>
            </w:r>
          </w:p>
        </w:tc>
      </w:tr>
      <w:tr>
        <w:tc>
          <w:tcPr>
            <w:tcW w:type="dxa" w:w="4413"/>
          </w:tcPr>
          <w:p>
            <w:r/>
            <w:r>
              <w:rPr>
                <w:rFonts w:ascii="Consolas" w:hAnsi="Consolas" w:eastAsia="Times New Roman" w:cs="Times New Roman"/>
                <w:sz w:val="19"/>
              </w:rPr>
              <w:t>results/code/o11_fusion_optimization.py</w:t>
            </w:r>
          </w:p>
        </w:tc>
        <w:tc>
          <w:tcPr>
            <w:tcW w:type="dxa" w:w="4413"/>
          </w:tcPr>
          <w:p>
            <w:r/>
            <w:r>
              <w:rPr>
                <w:rFonts w:ascii="Consolas" w:hAnsi="Consolas" w:eastAsia="Times New Roman" w:cs="Times New Roman"/>
                <w:sz w:val="19"/>
              </w:rPr>
              <w:t>20260913</w:t>
            </w:r>
            <w:r>
              <w:rPr>
                <w:rFonts w:ascii="Calibri" w:hAnsi="Calibri" w:eastAsia="Times New Roman" w:cs="Times New Roman"/>
                <w:sz w:val="19"/>
              </w:rPr>
              <w:t xml:space="preserve"> (</w:t>
            </w:r>
            <w:r>
              <w:rPr>
                <w:rFonts w:ascii="Consolas" w:hAnsi="Consolas" w:eastAsia="Times New Roman" w:cs="Times New Roman"/>
                <w:sz w:val="19"/>
              </w:rPr>
              <w:t>:106</w:t>
            </w:r>
            <w:r>
              <w:rPr>
                <w:rFonts w:ascii="Calibri" w:hAnsi="Calibri" w:eastAsia="Times New Roman" w:cs="Times New Roman"/>
                <w:sz w:val="19"/>
              </w:rPr>
              <w:t>)</w:t>
            </w:r>
          </w:p>
        </w:tc>
        <w:tc>
          <w:tcPr>
            <w:tcW w:type="dxa" w:w="4413"/>
          </w:tcPr>
          <w:p>
            <w:r/>
            <w:r>
              <w:rPr>
                <w:rFonts w:ascii="Calibri" w:hAnsi="Calibri" w:eastAsia="Times New Roman" w:cs="Times New Roman"/>
                <w:sz w:val="19"/>
              </w:rPr>
              <w:t>repeated holdout of fusion variants (REP = 25 × SPLITS = 20)</w:t>
            </w:r>
          </w:p>
        </w:tc>
      </w:tr>
      <w:tr>
        <w:tc>
          <w:tcPr>
            <w:tcW w:type="dxa" w:w="4413"/>
          </w:tcPr>
          <w:p>
            <w:r/>
            <w:r>
              <w:rPr>
                <w:rFonts w:ascii="Consolas" w:hAnsi="Consolas" w:eastAsia="Times New Roman" w:cs="Times New Roman"/>
                <w:sz w:val="19"/>
              </w:rPr>
              <w:t>results/code/o12_student_o11.py</w:t>
            </w:r>
          </w:p>
        </w:tc>
        <w:tc>
          <w:tcPr>
            <w:tcW w:type="dxa" w:w="4413"/>
          </w:tcPr>
          <w:p>
            <w:r/>
            <w:r>
              <w:rPr>
                <w:rFonts w:ascii="Consolas" w:hAnsi="Consolas" w:eastAsia="Times New Roman" w:cs="Times New Roman"/>
                <w:sz w:val="19"/>
              </w:rPr>
              <w:t>20260913</w:t>
            </w:r>
            <w:r>
              <w:rPr>
                <w:rFonts w:ascii="Calibri" w:hAnsi="Calibri" w:eastAsia="Times New Roman" w:cs="Times New Roman"/>
                <w:sz w:val="19"/>
              </w:rPr>
              <w:t xml:space="preserve"> (</w:t>
            </w:r>
            <w:r>
              <w:rPr>
                <w:rFonts w:ascii="Consolas" w:hAnsi="Consolas" w:eastAsia="Times New Roman" w:cs="Times New Roman"/>
                <w:sz w:val="19"/>
              </w:rPr>
              <w:t>:51</w:t>
            </w:r>
            <w:r>
              <w:rPr>
                <w:rFonts w:ascii="Calibri" w:hAnsi="Calibri" w:eastAsia="Times New Roman" w:cs="Times New Roman"/>
                <w:sz w:val="19"/>
              </w:rPr>
              <w:t xml:space="preserve"> </w:t>
            </w:r>
            <w:r>
              <w:rPr>
                <w:rFonts w:ascii="Consolas" w:hAnsi="Consolas" w:eastAsia="Times New Roman" w:cs="Times New Roman"/>
                <w:sz w:val="19"/>
              </w:rPr>
              <w:t>random.seed</w:t>
            </w:r>
            <w:r>
              <w:rPr>
                <w:rFonts w:ascii="Calibri" w:hAnsi="Calibri" w:eastAsia="Times New Roman" w:cs="Times New Roman"/>
                <w:sz w:val="19"/>
              </w:rPr>
              <w:t xml:space="preserve">, </w:t>
            </w:r>
            <w:r>
              <w:rPr>
                <w:rFonts w:ascii="Consolas" w:hAnsi="Consolas" w:eastAsia="Times New Roman" w:cs="Times New Roman"/>
                <w:sz w:val="19"/>
              </w:rPr>
              <w:t>:128</w:t>
            </w:r>
            <w:r>
              <w:rPr>
                <w:rFonts w:ascii="Calibri" w:hAnsi="Calibri" w:eastAsia="Times New Roman" w:cs="Times New Roman"/>
                <w:sz w:val="19"/>
              </w:rPr>
              <w:t xml:space="preserve"> </w:t>
            </w:r>
            <w:r>
              <w:rPr>
                <w:rFonts w:ascii="Consolas" w:hAnsi="Consolas" w:eastAsia="Times New Roman" w:cs="Times New Roman"/>
                <w:sz w:val="19"/>
              </w:rPr>
              <w:t>default_rng</w:t>
            </w:r>
            <w:r>
              <w:rPr>
                <w:rFonts w:ascii="Calibri" w:hAnsi="Calibri" w:eastAsia="Times New Roman" w:cs="Times New Roman"/>
                <w:sz w:val="19"/>
              </w:rPr>
              <w:t>)</w:t>
            </w:r>
          </w:p>
        </w:tc>
        <w:tc>
          <w:tcPr>
            <w:tcW w:type="dxa" w:w="4413"/>
          </w:tcPr>
          <w:p>
            <w:r/>
            <w:r>
              <w:rPr>
                <w:rFonts w:ascii="Calibri" w:hAnsi="Calibri" w:eastAsia="Times New Roman" w:cs="Times New Roman"/>
                <w:sz w:val="19"/>
              </w:rPr>
              <w:t>reshuffle and reservoir of student-level holdout</w:t>
            </w:r>
          </w:p>
        </w:tc>
      </w:tr>
      <w:tr>
        <w:tc>
          <w:tcPr>
            <w:tcW w:type="dxa" w:w="4413"/>
          </w:tcPr>
          <w:p>
            <w:r/>
            <w:r>
              <w:rPr>
                <w:rFonts w:ascii="Consolas" w:hAnsi="Consolas" w:eastAsia="Times New Roman" w:cs="Times New Roman"/>
                <w:sz w:val="19"/>
              </w:rPr>
              <w:t>results/code/build_difficulty_cache.py</w:t>
            </w:r>
          </w:p>
        </w:tc>
        <w:tc>
          <w:tcPr>
            <w:tcW w:type="dxa" w:w="4413"/>
          </w:tcPr>
          <w:p>
            <w:r/>
            <w:r>
              <w:rPr>
                <w:rFonts w:ascii="Consolas" w:hAnsi="Consolas" w:eastAsia="Times New Roman" w:cs="Times New Roman"/>
                <w:sz w:val="19"/>
              </w:rPr>
              <w:t>20260913</w:t>
            </w:r>
            <w:r>
              <w:rPr>
                <w:rFonts w:ascii="Calibri" w:hAnsi="Calibri" w:eastAsia="Times New Roman" w:cs="Times New Roman"/>
                <w:sz w:val="19"/>
              </w:rPr>
              <w:t xml:space="preserve"> (</w:t>
            </w:r>
            <w:r>
              <w:rPr>
                <w:rFonts w:ascii="Consolas" w:hAnsi="Consolas" w:eastAsia="Times New Roman" w:cs="Times New Roman"/>
                <w:sz w:val="19"/>
              </w:rPr>
              <w:t>:18</w:t>
            </w:r>
            <w:r>
              <w:rPr>
                <w:rFonts w:ascii="Calibri" w:hAnsi="Calibri" w:eastAsia="Times New Roman" w:cs="Times New Roman"/>
                <w:sz w:val="19"/>
              </w:rPr>
              <w:t xml:space="preserve">, </w:t>
            </w:r>
            <w:r>
              <w:rPr>
                <w:rFonts w:ascii="Consolas" w:hAnsi="Consolas" w:eastAsia="Times New Roman" w:cs="Times New Roman"/>
                <w:sz w:val="19"/>
              </w:rPr>
              <w:t>random.seed</w:t>
            </w:r>
            <w:r>
              <w:rPr>
                <w:rFonts w:ascii="Calibri" w:hAnsi="Calibri" w:eastAsia="Times New Roman" w:cs="Times New Roman"/>
                <w:sz w:val="19"/>
              </w:rPr>
              <w:t>)</w:t>
            </w:r>
          </w:p>
        </w:tc>
        <w:tc>
          <w:tcPr>
            <w:tcW w:type="dxa" w:w="4413"/>
          </w:tcPr>
          <w:p>
            <w:r/>
            <w:r>
              <w:rPr>
                <w:rFonts w:ascii="Calibri" w:hAnsi="Calibri" w:eastAsia="Times New Roman" w:cs="Times New Roman"/>
                <w:sz w:val="19"/>
              </w:rPr>
              <w:t>sampling of difficulty-cache construction</w:t>
            </w:r>
          </w:p>
        </w:tc>
      </w:tr>
      <w:tr>
        <w:tc>
          <w:tcPr>
            <w:tcW w:type="dxa" w:w="4413"/>
          </w:tcPr>
          <w:p>
            <w:r/>
            <w:r>
              <w:rPr>
                <w:rFonts w:ascii="Consolas" w:hAnsi="Consolas" w:eastAsia="Times New Roman" w:cs="Times New Roman"/>
                <w:sz w:val="19"/>
              </w:rPr>
              <w:t>results/code/o4_fusion.py</w:t>
            </w:r>
          </w:p>
        </w:tc>
        <w:tc>
          <w:tcPr>
            <w:tcW w:type="dxa" w:w="4413"/>
          </w:tcPr>
          <w:p>
            <w:r/>
            <w:r>
              <w:rPr>
                <w:rFonts w:ascii="Consolas" w:hAnsi="Consolas" w:eastAsia="Times New Roman" w:cs="Times New Roman"/>
                <w:sz w:val="19"/>
              </w:rPr>
              <w:t>42</w:t>
            </w:r>
            <w:r>
              <w:rPr>
                <w:rFonts w:ascii="Calibri" w:hAnsi="Calibri" w:eastAsia="Times New Roman" w:cs="Times New Roman"/>
                <w:sz w:val="19"/>
              </w:rPr>
              <w:t xml:space="preserve"> (</w:t>
            </w:r>
            <w:r>
              <w:rPr>
                <w:rFonts w:ascii="Consolas" w:hAnsi="Consolas" w:eastAsia="Times New Roman" w:cs="Times New Roman"/>
                <w:sz w:val="19"/>
              </w:rPr>
              <w:t>:126</w:t>
            </w:r>
            <w:r>
              <w:rPr>
                <w:rFonts w:ascii="Calibri" w:hAnsi="Calibri" w:eastAsia="Times New Roman" w:cs="Times New Roman"/>
                <w:sz w:val="19"/>
              </w:rPr>
              <w:t xml:space="preserve">, </w:t>
            </w:r>
            <w:r>
              <w:rPr>
                <w:rFonts w:ascii="Consolas" w:hAnsi="Consolas" w:eastAsia="Times New Roman" w:cs="Times New Roman"/>
                <w:sz w:val="19"/>
              </w:rPr>
              <w:t>rngcv = np.random.default_rng(42)</w:t>
            </w:r>
            <w:r>
              <w:rPr>
                <w:rFonts w:ascii="Calibri" w:hAnsi="Calibri" w:eastAsia="Times New Roman" w:cs="Times New Roman"/>
                <w:sz w:val="19"/>
              </w:rPr>
              <w:t>)</w:t>
            </w:r>
          </w:p>
        </w:tc>
        <w:tc>
          <w:tcPr>
            <w:tcW w:type="dxa" w:w="4413"/>
          </w:tcPr>
          <w:p>
            <w:r/>
            <w:r>
              <w:rPr>
                <w:rFonts w:ascii="Calibri" w:hAnsi="Calibri" w:eastAsia="Times New Roman" w:cs="Times New Roman"/>
                <w:sz w:val="19"/>
              </w:rPr>
              <w:t>fold split of 5-fold cross-validation</w:t>
            </w:r>
          </w:p>
        </w:tc>
      </w:tr>
      <w:tr>
        <w:tc>
          <w:tcPr>
            <w:tcW w:type="dxa" w:w="4413"/>
          </w:tcPr>
          <w:p>
            <w:r/>
            <w:r>
              <w:rPr>
                <w:rFonts w:ascii="Consolas" w:hAnsi="Consolas" w:eastAsia="Times New Roman" w:cs="Times New Roman"/>
                <w:sz w:val="19"/>
              </w:rPr>
              <w:t>results/m1/aipw/aipw_run.py</w:t>
            </w:r>
          </w:p>
        </w:tc>
        <w:tc>
          <w:tcPr>
            <w:tcW w:type="dxa" w:w="4413"/>
          </w:tcPr>
          <w:p>
            <w:r/>
            <w:r>
              <w:rPr>
                <w:rFonts w:ascii="Consolas" w:hAnsi="Consolas" w:eastAsia="Times New Roman" w:cs="Times New Roman"/>
                <w:sz w:val="19"/>
              </w:rPr>
              <w:t>42</w:t>
            </w:r>
            <w:r>
              <w:rPr>
                <w:rFonts w:ascii="Calibri" w:hAnsi="Calibri" w:eastAsia="Times New Roman" w:cs="Times New Roman"/>
                <w:sz w:val="19"/>
              </w:rPr>
              <w:t xml:space="preserve"> (</w:t>
            </w:r>
            <w:r>
              <w:rPr>
                <w:rFonts w:ascii="Consolas" w:hAnsi="Consolas" w:eastAsia="Times New Roman" w:cs="Times New Roman"/>
                <w:sz w:val="19"/>
              </w:rPr>
              <w:t>:63</w:t>
            </w:r>
            <w:r>
              <w:rPr>
                <w:rFonts w:ascii="Calibri" w:hAnsi="Calibri" w:eastAsia="Times New Roman" w:cs="Times New Roman"/>
                <w:sz w:val="19"/>
              </w:rPr>
              <w:t xml:space="preserve">, </w:t>
            </w:r>
            <w:r>
              <w:rPr>
                <w:rFonts w:ascii="Consolas" w:hAnsi="Consolas" w:eastAsia="Times New Roman" w:cs="Times New Roman"/>
                <w:sz w:val="19"/>
              </w:rPr>
              <w:t>SEED = 42</w:t>
            </w:r>
            <w:r>
              <w:rPr>
                <w:rFonts w:ascii="Calibri" w:hAnsi="Calibri" w:eastAsia="Times New Roman" w:cs="Times New Roman"/>
                <w:sz w:val="19"/>
              </w:rPr>
              <w:t xml:space="preserve">; </w:t>
            </w:r>
            <w:r>
              <w:rPr>
                <w:rFonts w:ascii="Consolas" w:hAnsi="Consolas" w:eastAsia="Times New Roman" w:cs="Times New Roman"/>
                <w:sz w:val="19"/>
              </w:rPr>
              <w:t>:85</w:t>
            </w:r>
            <w:r>
              <w:rPr>
                <w:rFonts w:ascii="Calibri" w:hAnsi="Calibri" w:eastAsia="Times New Roman" w:cs="Times New Roman"/>
                <w:sz w:val="19"/>
              </w:rPr>
              <w:t xml:space="preserve"> </w:t>
            </w:r>
            <w:r>
              <w:rPr>
                <w:rFonts w:ascii="Consolas" w:hAnsi="Consolas" w:eastAsia="Times New Roman" w:cs="Times New Roman"/>
                <w:sz w:val="19"/>
              </w:rPr>
              <w:t>RandomState</w:t>
            </w:r>
            <w:r>
              <w:rPr>
                <w:rFonts w:ascii="Calibri" w:hAnsi="Calibri" w:eastAsia="Times New Roman" w:cs="Times New Roman"/>
                <w:sz w:val="19"/>
              </w:rPr>
              <w:t xml:space="preserve">, </w:t>
            </w:r>
            <w:r>
              <w:rPr>
                <w:rFonts w:ascii="Consolas" w:hAnsi="Consolas" w:eastAsia="Times New Roman" w:cs="Times New Roman"/>
                <w:sz w:val="19"/>
              </w:rPr>
              <w:t>:542</w:t>
            </w:r>
            <w:r>
              <w:rPr>
                <w:rFonts w:ascii="Calibri" w:hAnsi="Calibri" w:eastAsia="Times New Roman" w:cs="Times New Roman"/>
                <w:sz w:val="19"/>
              </w:rPr>
              <w:t>/</w:t>
            </w:r>
            <w:r>
              <w:rPr>
                <w:rFonts w:ascii="Consolas" w:hAnsi="Consolas" w:eastAsia="Times New Roman" w:cs="Times New Roman"/>
                <w:sz w:val="19"/>
              </w:rPr>
              <w:t>:551</w:t>
            </w:r>
            <w:r>
              <w:rPr>
                <w:rFonts w:ascii="Calibri" w:hAnsi="Calibri" w:eastAsia="Times New Roman" w:cs="Times New Roman"/>
                <w:sz w:val="19"/>
              </w:rPr>
              <w:t xml:space="preserve"> </w:t>
            </w:r>
            <w:r>
              <w:rPr>
                <w:rFonts w:ascii="Consolas" w:hAnsi="Consolas" w:eastAsia="Times New Roman" w:cs="Times New Roman"/>
                <w:sz w:val="19"/>
              </w:rPr>
              <w:t>random_state</w:t>
            </w:r>
            <w:r>
              <w:rPr>
                <w:rFonts w:ascii="Calibri" w:hAnsi="Calibri" w:eastAsia="Times New Roman" w:cs="Times New Roman"/>
                <w:sz w:val="19"/>
              </w:rPr>
              <w:t>)</w:t>
            </w:r>
          </w:p>
        </w:tc>
        <w:tc>
          <w:tcPr>
            <w:tcW w:type="dxa" w:w="4413"/>
          </w:tcPr>
          <w:p>
            <w:r/>
            <w:r>
              <w:rPr>
                <w:rFonts w:ascii="Calibri" w:hAnsi="Calibri" w:eastAsia="Times New Roman" w:cs="Times New Roman"/>
                <w:sz w:val="19"/>
              </w:rPr>
              <w:t>AIPW/DR bootstrap and model randomness</w:t>
            </w:r>
          </w:p>
        </w:tc>
      </w:tr>
    </w:tbl>
    <w:p/>
    <w:p>
      <w:pPr>
        <w:spacing w:after="120"/>
      </w:pPr>
      <w:r>
        <w:rPr>
          <w:rFonts w:ascii="Calibri" w:hAnsi="Calibri" w:eastAsia="Times New Roman" w:cs="Times New Roman"/>
          <w:b/>
          <w:sz w:val="21"/>
        </w:rPr>
        <w:t>Results that cannot be reproduced bit-for-bit without the above seeds.</w:t>
      </w:r>
      <w:r>
        <w:rPr>
          <w:rFonts w:ascii="Calibri" w:hAnsi="Calibri" w:eastAsia="Times New Roman" w:cs="Times New Roman"/>
          <w:sz w:val="21"/>
        </w:rPr>
        <w:t xml:space="preserve"> The following three classes of numbers depend on specific seed splits or resampling and </w:t>
      </w:r>
      <w:r>
        <w:rPr>
          <w:rFonts w:ascii="Calibri" w:hAnsi="Calibri" w:eastAsia="Times New Roman" w:cs="Times New Roman"/>
          <w:b/>
          <w:sz w:val="21"/>
        </w:rPr>
        <w:t>will jitter by an undetermined magnitude under a different seed, being bit-for-bit reproducible only under their stated seeds</w:t>
      </w:r>
      <w:r>
        <w:rPr>
          <w:rFonts w:ascii="Calibri" w:hAnsi="Calibri" w:eastAsia="Times New Roman" w:cs="Times New Roman"/>
          <w:sz w:val="21"/>
        </w:rPr>
        <w:t xml:space="preserve">: (i) the </w:t>
      </w:r>
      <w:r>
        <w:rPr>
          <w:rFonts w:ascii="Calibri" w:hAnsi="Calibri" w:eastAsia="Times New Roman" w:cs="Times New Roman"/>
          <w:b/>
          <w:sz w:val="21"/>
        </w:rPr>
        <w:t>0.4778</w:t>
      </w:r>
      <w:r>
        <w:rPr>
          <w:rFonts w:ascii="Calibri" w:hAnsi="Calibri" w:eastAsia="Times New Roman" w:cs="Times New Roman"/>
          <w:sz w:val="21"/>
        </w:rPr>
        <w:t xml:space="preserve"> in §6.2 (single 5-fold CV of O4 optimised weights, seed 42)—one reason we require priority citation of the repeated 5-fold ×10 values (DBE 0.5240 ± 0.1069, Junyi 0.4023 ± 0.0480); (ii) </w:t>
      </w:r>
      <w:r>
        <w:rPr>
          <w:rFonts w:ascii="Calibri" w:hAnsi="Calibri" w:eastAsia="Times New Roman" w:cs="Times New Roman"/>
          <w:b/>
          <w:sz w:val="21"/>
        </w:rPr>
        <w:t>all AIPW results in §8.3</w:t>
      </w:r>
      <w:r>
        <w:rPr>
          <w:rFonts w:ascii="Calibri" w:hAnsi="Calibri" w:eastAsia="Times New Roman" w:cs="Times New Roman"/>
          <w:sz w:val="21"/>
        </w:rPr>
        <w:t xml:space="preserve">, including point estimates and bootstrap confidence intervals (seed 42, main analysis W=20 and window-width robustness W=10/40); (iii) </w:t>
      </w:r>
      <w:r>
        <w:rPr>
          <w:rFonts w:ascii="Calibri" w:hAnsi="Calibri" w:eastAsia="Times New Roman" w:cs="Times New Roman"/>
          <w:b/>
          <w:sz w:val="21"/>
        </w:rPr>
        <w:t>the single-value-mode bootstrap 95% confidence set in §8.1</w:t>
      </w:r>
      <w:r>
        <w:rPr>
          <w:rFonts w:ascii="Calibri" w:hAnsi="Calibri" w:eastAsia="Times New Roman" w:cs="Times New Roman"/>
          <w:sz w:val="21"/>
        </w:rPr>
        <w:t xml:space="preserve"> (2,000 student-level resamples, seed 20260922, rerun on the assist09 source data on 2026-10-04: k = 5 occupies 94.1% and k = 4 5.95%, giving the 95% set {0.25, 0.20}). Deterministic conclusions (e.g., the metric identity in §3.2, the 0.5357 and 0.0001 in §5.3) do not depend on seeds.</w:t>
      </w:r>
    </w:p>
    <w:p>
      <w:pPr>
        <w:pStyle w:val="Heading1"/>
        <w:spacing w:before="200" w:after="80"/>
      </w:pPr>
      <w:r>
        <w:rPr>
          <w:rFonts w:ascii="Calibri" w:hAnsi="Calibri" w:eastAsia="Times New Roman" w:cs="Times New Roman"/>
          <w:sz w:val="32"/>
        </w:rPr>
        <w:t>2 Related Work</w:t>
      </w:r>
    </w:p>
    <w:p>
      <w:pPr>
        <w:pStyle w:val="Heading2"/>
        <w:spacing w:before="120" w:after="80"/>
      </w:pPr>
      <w:r>
        <w:rPr>
          <w:rFonts w:ascii="Calibri" w:hAnsi="Calibri" w:eastAsia="Times New Roman" w:cs="Times New Roman"/>
          <w:sz w:val="27"/>
        </w:rPr>
        <w:t>2.1 Knowledge tracing and the difficulty–ability confound</w:t>
      </w:r>
    </w:p>
    <w:p>
      <w:pPr>
        <w:spacing w:after="120"/>
      </w:pPr>
      <w:r>
        <w:rPr>
          <w:rFonts w:ascii="Calibri" w:hAnsi="Calibri" w:eastAsia="Times New Roman" w:cs="Times New Roman"/>
          <w:sz w:val="21"/>
        </w:rPr>
        <w:t xml:space="preserve">Deep knowledge tracing is the mainstream paradigm for predicting "the probability that a student answers the next item correctly," but its output is a </w:t>
      </w:r>
      <w:r>
        <w:rPr>
          <w:rFonts w:ascii="Calibri" w:hAnsi="Calibri" w:eastAsia="Times New Roman" w:cs="Times New Roman"/>
          <w:b/>
          <w:sz w:val="21"/>
        </w:rPr>
        <w:t>probability</w:t>
      </w:r>
      <w:r>
        <w:rPr>
          <w:rFonts w:ascii="Calibri" w:hAnsi="Calibri" w:eastAsia="Times New Roman" w:cs="Times New Roman"/>
          <w:sz w:val="21"/>
        </w:rPr>
        <w:t>, not difficulty. When a system uses this probability as a difficulty signal, the difficulty–ability confound arises: a high correct rate can come from either an easy item or a capable student. One manifestation of this confound in the literature is that different studies compare AUCs on the same incomparable scales. Liu et al. (2025), after standardising 21 deep knowledge-tracing models and 9 datasets, note that the field shows "highly similar methods, minimal divergence in conclusions, and inconsistent AUC reporting"—one source of divergence being precisely that the compared quantity is not on the same metric. Our treatment is not to propose yet another predictive model but to single out "whether these quantities are additive" for testing, which is the two sides of the same problem pointed out by that review.</w:t>
      </w:r>
    </w:p>
    <w:p>
      <w:pPr>
        <w:pStyle w:val="Heading2"/>
        <w:spacing w:before="120" w:after="80"/>
      </w:pPr>
      <w:r>
        <w:rPr>
          <w:rFonts w:ascii="Calibri" w:hAnsi="Calibri" w:eastAsia="Times New Roman" w:cs="Times New Roman"/>
          <w:sz w:val="27"/>
        </w:rPr>
        <w:t>2.2 Test equating and IRT linking</w:t>
      </w:r>
    </w:p>
    <w:p>
      <w:pPr>
        <w:spacing w:after="120"/>
      </w:pPr>
      <w:r>
        <w:rPr>
          <w:rFonts w:ascii="Calibri" w:hAnsi="Calibri" w:eastAsia="Times New Roman" w:cs="Times New Roman"/>
          <w:sz w:val="21"/>
        </w:rPr>
        <w:t xml:space="preserve">The equating literature solves "whether different test forms are comparable," sharing the same measurement-theoretic root as our "whether different difficulty-technique routes are comparable." Weber, Becker, Spinath, and Koch (2025) systematically compared five equating methods (MS, MM, MGM, IRF, TRF) under 400 simulation scenarios for parameter recovery under 2PL/3PL, with direct methodological implications for us: </w:t>
      </w:r>
      <w:r>
        <w:rPr>
          <w:rFonts w:ascii="Calibri" w:hAnsi="Calibri" w:eastAsia="Times New Roman" w:cs="Times New Roman"/>
          <w:b/>
          <w:sz w:val="21"/>
        </w:rPr>
        <w:t>the choice of equating method has little effect; what truly determines recovery quality is the anchor items' high discrimination, low guessing probability, and large sample</w:t>
      </w:r>
      <w:r>
        <w:rPr>
          <w:rFonts w:ascii="Calibri" w:hAnsi="Calibri" w:eastAsia="Times New Roman" w:cs="Times New Roman"/>
          <w:sz w:val="21"/>
        </w:rPr>
        <w:t xml:space="preserve">; parameter recovery is unacceptable below a sample size of 100. This conclusion supports our approach—invest resources in the metric and signal quality, not in more complex linking methods. Deng (2025) examines, on PISA 2018 science-module Arabic- and Chinese-group data, the effect of rapid guessing on multi-group concurrent IRT calibration, finding the procedure robust to anchor identification and ability estimation but reducing the precision of individual ability estimates. Together the two studies delimit the boundary of our calibration design: whether rapid-guess contamination of </w:t>
      </w:r>
      <w:r>
        <w:rPr>
          <w:rFonts w:ascii="Calibri" w:hAnsi="Calibri" w:eastAsia="Times New Roman" w:cs="Times New Roman"/>
          <w:b/>
          <w:sz w:val="21"/>
        </w:rPr>
        <w:t>difficulty linking</w:t>
      </w:r>
      <w:r>
        <w:rPr>
          <w:rFonts w:ascii="Calibri" w:hAnsi="Calibri" w:eastAsia="Times New Roman" w:cs="Times New Roman"/>
          <w:sz w:val="21"/>
        </w:rPr>
        <w:t xml:space="preserve"> is measurable remains an open question, on which we make no claim.</w:t>
      </w:r>
    </w:p>
    <w:p>
      <w:pPr>
        <w:pStyle w:val="Heading2"/>
        <w:spacing w:before="120" w:after="80"/>
      </w:pPr>
      <w:r>
        <w:rPr>
          <w:rFonts w:ascii="Calibri" w:hAnsi="Calibri" w:eastAsia="Times New Roman" w:cs="Times New Roman"/>
          <w:sz w:val="27"/>
        </w:rPr>
        <w:t>2.3 Multi-signal difficulty estimation and the place of expert labels</w:t>
      </w:r>
    </w:p>
    <w:p>
      <w:pPr>
        <w:spacing w:after="120"/>
      </w:pPr>
      <w:r>
        <w:rPr>
          <w:rFonts w:ascii="Calibri" w:hAnsi="Calibri" w:eastAsia="Times New Roman" w:cs="Times New Roman"/>
          <w:sz w:val="21"/>
        </w:rPr>
        <w:t xml:space="preserve">The "difficulty" that adaptive ranking truly needs has long been assumed estimable from the single signal of correct rate. Ding et al. (2024), with Easy2Hard-Bench, use joint IRT and Glicko-2 calibration to provide difficulty labels for standardised LLM difficulty evaluation, representing the mainstream route of "treating difficulty as a calibratable parameter." Our quantile metric shares IRT's logit intuition with that route but changes the object from "item correct rate" to "the rank of any monotone observation," thereby elevating invariance from an estimation problem to an analytic identity. The division-of-labour difference from that work must be stressed: they pursue more accurate difficulty labels; we ask </w:t>
      </w:r>
      <w:r>
        <w:rPr>
          <w:rFonts w:ascii="Calibri" w:hAnsi="Calibri" w:eastAsia="Times New Roman" w:cs="Times New Roman"/>
          <w:b/>
          <w:sz w:val="21"/>
        </w:rPr>
        <w:t>under which criterion those labels sit</w:t>
      </w:r>
      <w:r>
        <w:rPr>
          <w:rFonts w:ascii="Calibri" w:hAnsi="Calibri" w:eastAsia="Times New Roman" w:cs="Times New Roman"/>
          <w:sz w:val="21"/>
        </w:rPr>
        <w:t>. §7 will show that this question changes the sign of the conclusion.</w:t>
      </w:r>
    </w:p>
    <w:p>
      <w:pPr>
        <w:pStyle w:val="Heading2"/>
        <w:spacing w:before="120" w:after="80"/>
      </w:pPr>
      <w:r>
        <w:rPr>
          <w:rFonts w:ascii="Calibri" w:hAnsi="Calibri" w:eastAsia="Times New Roman" w:cs="Times New Roman"/>
          <w:sz w:val="27"/>
        </w:rPr>
        <w:t>2.4 The 85% rule, the challenge-point framework, and evidence on real learners</w:t>
      </w:r>
    </w:p>
    <w:p>
      <w:pPr>
        <w:spacing w:after="120"/>
      </w:pPr>
      <w:r>
        <w:rPr>
          <w:rFonts w:ascii="Calibri" w:hAnsi="Calibri" w:eastAsia="Times New Roman" w:cs="Times New Roman"/>
          <w:sz w:val="21"/>
        </w:rPr>
        <w:t>Wilson et al. (2019) derive, on a gradient-descent binary-classification learner, an optimal error rate of 15.87%, i.e., the "85% rule." This is a theorem about a specific learning algorithm, whose derivation depends on five premises: a binary-classification task, no hints, no skipping, no forgetting, and no transfer. Real classrooms deviate on all five dimensions simultaneously. Notably, this applicability gap was not excavated by later critics from a seam in the literature but was explicitly limited by the original authors in the Discussion: the derivation holds only "in the special case of a binary classification task to which the stochastic gradient descent learning rule applies," and they explicitly state that "it remains to be generalized to broader contexts, such as multiple-choice questions and different learning algorithms," and that "not all models will exhibit a difficulty sweet spot" (the authors use a Bayesian learner with a perfect memory as a counterexample). Therefore the original text contains no direct quotation of the kind "this rule may not apply to students because they are not learning a binary-classification task"—an earlier paraphrase had reshaped it into a direct quotation, which is a misquotation that we correct here. The theoretical boundary goes further—when the noise distribution changes from Gaussian to Laplace or Cauchy, the optimal accuracy drifts to about 82% and 75% respectively; for a Bayesian learner with perfect memory, no such sweet spot exists.</w:t>
      </w:r>
    </w:p>
    <w:p>
      <w:pPr>
        <w:spacing w:after="120"/>
      </w:pPr>
      <w:r>
        <w:rPr>
          <w:rFonts w:ascii="Calibri" w:hAnsi="Calibri" w:eastAsia="Times New Roman" w:cs="Times New Roman"/>
          <w:sz w:val="21"/>
        </w:rPr>
        <w:t xml:space="preserve">The verbatim English of these three limitations, the PMC paragraph ids (Par26 / Par30 / Par31), and the retrieval basis are in </w:t>
      </w:r>
      <w:r>
        <w:rPr>
          <w:rFonts w:ascii="Consolas" w:hAnsi="Consolas" w:eastAsia="Times New Roman" w:cs="Times New Roman"/>
          <w:sz w:val="21"/>
        </w:rPr>
        <w:t>results/ref_verify/wilson2019_quotations.md</w:t>
      </w:r>
      <w:r>
        <w:rPr>
          <w:rFonts w:ascii="Calibri" w:hAnsi="Calibri" w:eastAsia="Times New Roman" w:cs="Times New Roman"/>
          <w:sz w:val="21"/>
        </w:rPr>
        <w:t xml:space="preserve"> (Europe PMC PMC6831579 full-text XML, retrieved 2026-09-25). Two points must be noted: first, the word "student" appears </w:t>
      </w:r>
      <w:r>
        <w:rPr>
          <w:rFonts w:ascii="Calibri" w:hAnsi="Calibri" w:eastAsia="Times New Roman" w:cs="Times New Roman"/>
          <w:b/>
          <w:sz w:val="21"/>
        </w:rPr>
        <w:t>0 times</w:t>
      </w:r>
      <w:r>
        <w:rPr>
          <w:rFonts w:ascii="Calibri" w:hAnsi="Calibri" w:eastAsia="Times New Roman" w:cs="Times New Roman"/>
          <w:sz w:val="21"/>
        </w:rPr>
        <w:t xml:space="preserve"> in the entire original text, so there is no original quotation about "whether this rule applies to students"—only the applicability-boundary limitations above are citable; second, the bioRxiv preprint (10.1101/255182v1) Discussion wording differs substantially from the published version, so </w:t>
      </w:r>
      <w:r>
        <w:rPr>
          <w:rFonts w:ascii="Calibri" w:hAnsi="Calibri" w:eastAsia="Times New Roman" w:cs="Times New Roman"/>
          <w:b/>
          <w:sz w:val="21"/>
        </w:rPr>
        <w:t>all citations use the Nature Communications published version</w:t>
      </w:r>
      <w:r>
        <w:rPr>
          <w:rFonts w:ascii="Calibri" w:hAnsi="Calibri" w:eastAsia="Times New Roman" w:cs="Times New Roman"/>
          <w:sz w:val="21"/>
        </w:rPr>
        <w:t>.</w:t>
      </w:r>
    </w:p>
    <w:p>
      <w:pPr>
        <w:spacing w:after="120"/>
      </w:pPr>
      <w:r>
        <w:rPr>
          <w:rFonts w:ascii="Calibri" w:hAnsi="Calibri" w:eastAsia="Times New Roman" w:cs="Times New Roman"/>
          <w:sz w:val="21"/>
        </w:rPr>
        <w:t xml:space="preserve">Directional evidence on real learners comes from Baillifard, Belardi, and Martarelli (2025): on the logs of 413 learners in a digital-skills course, performance peaked at about 80.7% success rate, and the optimal strategy showed significant heterogeneity among the most persistent, highest-performing learners. </w:t>
      </w:r>
      <w:r>
        <w:rPr>
          <w:rFonts w:ascii="Calibri" w:hAnsi="Calibri" w:eastAsia="Times New Roman" w:cs="Times New Roman"/>
          <w:b/>
          <w:sz w:val="21"/>
        </w:rPr>
        <w:t>The source grade must be noted</w:t>
      </w:r>
      <w:r>
        <w:rPr>
          <w:rFonts w:ascii="Calibri" w:hAnsi="Calibri" w:eastAsia="Times New Roman" w:cs="Times New Roman"/>
          <w:sz w:val="21"/>
        </w:rPr>
        <w:t xml:space="preserve">: that 80.7% comes from the EADTU </w:t>
      </w:r>
      <w:r>
        <w:rPr>
          <w:rFonts w:ascii="Calibri" w:hAnsi="Calibri" w:eastAsia="Times New Roman" w:cs="Times New Roman"/>
          <w:i/>
          <w:sz w:val="21"/>
        </w:rPr>
        <w:t>Envisioning Report for Empowering Universities 2025</w:t>
      </w:r>
      <w:r>
        <w:rPr>
          <w:rFonts w:ascii="Calibri" w:hAnsi="Calibri" w:eastAsia="Times New Roman" w:cs="Times New Roman"/>
          <w:sz w:val="21"/>
        </w:rPr>
        <w:t xml:space="preserve">, a </w:t>
      </w:r>
      <w:r>
        <w:rPr>
          <w:rFonts w:ascii="Calibri" w:hAnsi="Calibri" w:eastAsia="Times New Roman" w:cs="Times New Roman"/>
          <w:b/>
          <w:sz w:val="21"/>
        </w:rPr>
        <w:t>non-peer-reviewed</w:t>
      </w:r>
      <w:r>
        <w:rPr>
          <w:rFonts w:ascii="Calibri" w:hAnsi="Calibri" w:eastAsia="Times New Roman" w:cs="Times New Roman"/>
          <w:sz w:val="21"/>
        </w:rPr>
        <w:t xml:space="preserve"> annual report, not a journal paper. We therefore cite it as a </w:t>
      </w:r>
      <w:r>
        <w:rPr>
          <w:rFonts w:ascii="Calibri" w:hAnsi="Calibri" w:eastAsia="Times New Roman" w:cs="Times New Roman"/>
          <w:b/>
          <w:sz w:val="21"/>
        </w:rPr>
        <w:t>candidate value to be tested</w:t>
      </w:r>
      <w:r>
        <w:rPr>
          <w:rFonts w:ascii="Calibri" w:hAnsi="Calibri" w:eastAsia="Times New Roman" w:cs="Times New Roman"/>
          <w:sz w:val="21"/>
        </w:rPr>
        <w:t xml:space="preserve">, not as an opposing claim of equal evidence grade to 15.87%; the distribution evidence in §8 discriminates between neither, and part of the reason for this handling also comes from the source-grade difference. Guadagnoli and Lee (2004)'s challenge-point framework (CPF) and its extension (Hodges and Lohse, 2022) provide a mechanistic explanation: CPF reconstructs the optimal difficulty from a "single point" to a dynamic interval of "functional task difficulty = f(nominal difficulty, learner skill, practice condition)," explicitly incorporating motivational cost, so </w:t>
      </w:r>
      <w:r>
        <w:rPr>
          <w:rFonts w:ascii="Calibri" w:hAnsi="Calibri" w:eastAsia="Times New Roman" w:cs="Times New Roman"/>
          <w:b/>
          <w:sz w:val="21"/>
        </w:rPr>
        <w:t>the true optimum should be below 85%</w:t>
      </w:r>
      <w:r>
        <w:rPr>
          <w:rFonts w:ascii="Calibri" w:hAnsi="Calibri" w:eastAsia="Times New Roman" w:cs="Times New Roman"/>
          <w:sz w:val="21"/>
        </w:rPr>
        <w:t>. The distribution evidence in §8 is compatible with this expectation; the preregistered causal identification was executed on 2026-09-24 under a frozen identification strategy, yielding no detected internal optimum and a significant negative control (§8.3)—that negative result does not conflict with CPF's "dynamic interval" expectation, but we do not claim it causally tests that expectation.</w:t>
      </w:r>
    </w:p>
    <w:p>
      <w:pPr>
        <w:spacing w:after="120"/>
      </w:pPr>
      <w:r>
        <w:rPr>
          <w:rFonts w:ascii="Calibri" w:hAnsi="Calibri" w:eastAsia="Times New Roman" w:cs="Times New Roman"/>
          <w:sz w:val="21"/>
        </w:rPr>
        <w:t xml:space="preserve">A positive case for task dependence also exists at the controlled-experiment level: Al-Fawakhiri, Kayani, and McDougle (2023, bioRxiv, doi:10.1101/2023.07.19.549705), in a motor-skill task with dynamically adjusted difficulty by performance (N=192), empirically find an optimal error rate of about 30%, consistent with their theoretical prediction extending Wilson et al. (2019) to the sensorimotor domain. This further supports the proposition itself that "an optimal error rate exists and varies by task"; but the domain is motor-skill learning, and the </w:t>
      </w:r>
      <w:r>
        <w:rPr>
          <w:rFonts w:ascii="Calibri" w:hAnsi="Calibri" w:eastAsia="Times New Roman" w:cs="Times New Roman"/>
          <w:b/>
          <w:sz w:val="21"/>
        </w:rPr>
        <w:t>value cannot be extrapolated to academic learning</w:t>
      </w:r>
      <w:r>
        <w:rPr>
          <w:rFonts w:ascii="Calibri" w:hAnsi="Calibri" w:eastAsia="Times New Roman" w:cs="Times New Roman"/>
          <w:sz w:val="21"/>
        </w:rPr>
        <w:t xml:space="preserve">, so we cite it only as a task-dependence case, </w:t>
      </w:r>
      <w:r>
        <w:rPr>
          <w:rFonts w:ascii="Calibri" w:hAnsi="Calibri" w:eastAsia="Times New Roman" w:cs="Times New Roman"/>
          <w:b/>
          <w:sz w:val="21"/>
        </w:rPr>
        <w:t>not as a coordinate of this study's RQ2 decision table, nor as a new target value</w:t>
      </w:r>
      <w:r>
        <w:rPr>
          <w:rFonts w:ascii="Calibri" w:hAnsi="Calibri" w:eastAsia="Times New Roman" w:cs="Times New Roman"/>
          <w:sz w:val="21"/>
        </w:rPr>
        <w:t>.</w:t>
      </w:r>
    </w:p>
    <w:p>
      <w:pPr>
        <w:pStyle w:val="Heading2"/>
        <w:spacing w:before="120" w:after="80"/>
      </w:pPr>
      <w:r>
        <w:rPr>
          <w:rFonts w:ascii="Calibri" w:hAnsi="Calibri" w:eastAsia="Times New Roman" w:cs="Times New Roman"/>
          <w:sz w:val="27"/>
        </w:rPr>
        <w:t>2.5 Off-policy evaluation: the preregistered toolbox and its execution (2026-09-24 supplement)</w:t>
      </w:r>
    </w:p>
    <w:p>
      <w:pPr>
        <w:spacing w:after="120"/>
      </w:pPr>
      <w:r>
        <w:rPr>
          <w:rFonts w:ascii="Calibri" w:hAnsi="Calibri" w:eastAsia="Times New Roman" w:cs="Times New Roman"/>
          <w:sz w:val="21"/>
        </w:rPr>
        <w:t>Adaptive learning systems almost never run online randomised controlled experiments; a student's item choice is jointly determined by the system strategy and self-selection, so "if this student were placed in another difficulty bracket, how would their mastery speed change" is a counterfactual question. Off-policy evaluation provides standard tools: a propensity model characterises selection probability, an outcome model characterises the endpoint, and then inverse-probability weighting or a doubly robust estimator gives the counterfactual mean (Dudík, Langford, and Li, 2011); double/debiased machine learning with cross-fitting further reduces the regularisation bias of the outcome model (Chernozhukov et al., 2018); the E-value quantifies how strong unobserved confounding must be to explain away the estimated effect (VanderWeele and Ding, 2017). This toolbox remains scarce in educational data mining and was the core method of the original preregistration.</w:t>
      </w:r>
    </w:p>
    <w:p>
      <w:pPr>
        <w:spacing w:after="120"/>
      </w:pPr>
      <w:r>
        <w:rPr>
          <w:rFonts w:ascii="Calibri" w:hAnsi="Calibri" w:eastAsia="Times New Roman" w:cs="Times New Roman"/>
          <w:b/>
          <w:sz w:val="21"/>
        </w:rPr>
        <w:t>Removal note (2026-09-29, review §2.2): of the methods listed in this section, AIPW/DR and the clustered bootstrap were executed on 2026-09-24 under the frozen identification strategy (LF-CIS-2026-09-22)</w:t>
      </w:r>
      <w:r>
        <w:rPr>
          <w:rFonts w:ascii="Calibri" w:hAnsi="Calibri" w:eastAsia="Times New Roman" w:cs="Times New Roman"/>
          <w:sz w:val="21"/>
        </w:rPr>
        <w:t xml:space="preserve">; the dose uses the raw-integer-error-count caliber solidified by that strategy (not the forward-calibrated version of the original preregistration), and the E-value and the formal ordering test of the five premises were not executed. </w:t>
      </w:r>
      <w:r>
        <w:rPr>
          <w:rFonts w:ascii="Calibri" w:hAnsi="Calibri" w:eastAsia="Times New Roman" w:cs="Times New Roman"/>
          <w:b/>
          <w:sz w:val="21"/>
        </w:rPr>
        <w:t>That execution did not pass the positive-control criterion, and its implementation differs from the frozen document in four places (the ability-confounding caliber, the item-difficulty caliber, the time-inverted control window, and the treatment-window width); its results are therefore not interpretable and have been removed from this paper</w:t>
      </w:r>
      <w:r>
        <w:rPr>
          <w:rFonts w:ascii="Calibri" w:hAnsi="Calibri" w:eastAsia="Times New Roman" w:cs="Times New Roman"/>
          <w:sz w:val="21"/>
        </w:rPr>
        <w:t xml:space="preserve"> — see §8.3. This section is retained so that readers can compare the preregistered design with what was actually executed.</w:t>
      </w:r>
    </w:p>
    <w:p>
      <w:pPr>
        <w:pStyle w:val="Heading1"/>
        <w:spacing w:before="200" w:after="80"/>
      </w:pPr>
      <w:r>
        <w:rPr>
          <w:rFonts w:ascii="Calibri" w:hAnsi="Calibri" w:eastAsia="Times New Roman" w:cs="Times New Roman"/>
          <w:sz w:val="32"/>
        </w:rPr>
        <w:t>3 Theory: the Instability Proposition</w:t>
      </w:r>
    </w:p>
    <w:p>
      <w:pPr>
        <w:pStyle w:val="Heading2"/>
        <w:spacing w:before="120" w:after="80"/>
      </w:pPr>
      <w:r>
        <w:rPr>
          <w:rFonts w:ascii="Calibri" w:hAnsi="Calibri" w:eastAsia="Times New Roman" w:cs="Times New Roman"/>
          <w:sz w:val="27"/>
        </w:rPr>
        <w:t>3.1 Four difficulty sources and their scale types</w:t>
      </w:r>
    </w:p>
    <w:p>
      <w:pPr>
        <w:spacing w:after="120"/>
      </w:pPr>
      <w:r>
        <w:rPr>
          <w:rFonts w:ascii="Calibri" w:hAnsi="Calibri" w:eastAsia="Times New Roman" w:cs="Times New Roman"/>
          <w:sz w:val="21"/>
        </w:rPr>
        <w:t>Suppose the system holds four sources: knowledge-tracing mastery m ∈ [0,1], spaced-repetition memory difficulty D, competitive-rating ability θ_EL, and window success rate r ∈ [0,1]. Following the classical scale classification and the three-plane classification of difficulty measurement (construction / scale / dependence), the four belong to different types:</w:t>
      </w:r>
    </w:p>
    <w:p>
      <w:pPr>
        <w:spacing w:after="120"/>
      </w:pPr>
      <w:r>
        <w:rPr>
          <w:rFonts w:ascii="Calibri" w:hAnsi="Calibri" w:eastAsia="Times New Roman" w:cs="Times New Roman"/>
          <w:b/>
          <w:sz w:val="21"/>
        </w:rPr>
        <w:t>Table 2. Four difficulty sources and their scale types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Times New Roman" w:cs="Times New Roman"/>
                <w:b/>
                <w:sz w:val="19"/>
              </w:rPr>
              <w:t>Source</w:t>
            </w:r>
          </w:p>
        </w:tc>
        <w:tc>
          <w:tcPr>
            <w:tcW w:type="dxa" w:w="2648"/>
            <w:shd w:val="clear" w:color="auto" w:fill="DDDDDD"/>
          </w:tcPr>
          <w:p>
            <w:r>
              <w:rPr>
                <w:b/>
              </w:rPr>
            </w:r>
            <w:r>
              <w:rPr>
                <w:rFonts w:ascii="Calibri" w:hAnsi="Calibri" w:eastAsia="Times New Roman" w:cs="Times New Roman"/>
                <w:b/>
                <w:sz w:val="19"/>
              </w:rPr>
              <w:t>Scale type</w:t>
            </w:r>
          </w:p>
        </w:tc>
        <w:tc>
          <w:tcPr>
            <w:tcW w:type="dxa" w:w="2648"/>
            <w:shd w:val="clear" w:color="auto" w:fill="DDDDDD"/>
          </w:tcPr>
          <w:p>
            <w:r>
              <w:rPr>
                <w:b/>
              </w:rPr>
            </w:r>
            <w:r>
              <w:rPr>
                <w:rFonts w:ascii="Calibri" w:hAnsi="Calibri" w:eastAsia="Times New Roman" w:cs="Times New Roman"/>
                <w:b/>
                <w:sz w:val="19"/>
              </w:rPr>
              <w:t>construction</w:t>
            </w:r>
          </w:p>
        </w:tc>
        <w:tc>
          <w:tcPr>
            <w:tcW w:type="dxa" w:w="2648"/>
            <w:shd w:val="clear" w:color="auto" w:fill="DDDDDD"/>
          </w:tcPr>
          <w:p>
            <w:r>
              <w:rPr>
                <w:b/>
              </w:rPr>
            </w:r>
            <w:r>
              <w:rPr>
                <w:rFonts w:ascii="Calibri" w:hAnsi="Calibri" w:eastAsia="Times New Roman" w:cs="Times New Roman"/>
                <w:b/>
                <w:sz w:val="19"/>
              </w:rPr>
              <w:t>scale</w:t>
            </w:r>
          </w:p>
        </w:tc>
        <w:tc>
          <w:tcPr>
            <w:tcW w:type="dxa" w:w="2648"/>
            <w:shd w:val="clear" w:color="auto" w:fill="DDDDDD"/>
          </w:tcPr>
          <w:p>
            <w:r>
              <w:rPr>
                <w:b/>
              </w:rPr>
            </w:r>
            <w:r>
              <w:rPr>
                <w:rFonts w:ascii="Calibri" w:hAnsi="Calibri" w:eastAsia="Times New Roman" w:cs="Times New Roman"/>
                <w:b/>
                <w:sz w:val="19"/>
              </w:rPr>
              <w:t>dependence</w:t>
            </w:r>
          </w:p>
        </w:tc>
      </w:tr>
      <w:tr>
        <w:tc>
          <w:tcPr>
            <w:tcW w:type="dxa" w:w="2648"/>
          </w:tcPr>
          <w:p>
            <w:r/>
            <w:r>
              <w:rPr>
                <w:rFonts w:ascii="Calibri" w:hAnsi="Calibri" w:eastAsia="Times New Roman" w:cs="Times New Roman"/>
                <w:sz w:val="19"/>
              </w:rPr>
              <w:t>KT mastery m</w:t>
            </w:r>
          </w:p>
        </w:tc>
        <w:tc>
          <w:tcPr>
            <w:tcW w:type="dxa" w:w="2648"/>
          </w:tcPr>
          <w:p>
            <w:r/>
            <w:r>
              <w:rPr>
                <w:rFonts w:ascii="Calibri" w:hAnsi="Calibri" w:eastAsia="Times New Roman" w:cs="Times New Roman"/>
                <w:sz w:val="19"/>
              </w:rPr>
              <w:t>bounded latent variable (approx. ordinal after integerisation)</w:t>
            </w:r>
          </w:p>
        </w:tc>
        <w:tc>
          <w:tcPr>
            <w:tcW w:type="dxa" w:w="2648"/>
          </w:tcPr>
          <w:p>
            <w:r/>
            <w:r>
              <w:rPr>
                <w:rFonts w:ascii="Calibri" w:hAnsi="Calibri" w:eastAsia="Times New Roman" w:cs="Times New Roman"/>
                <w:sz w:val="19"/>
              </w:rPr>
              <w:t>machine-inferred</w:t>
            </w:r>
          </w:p>
        </w:tc>
        <w:tc>
          <w:tcPr>
            <w:tcW w:type="dxa" w:w="2648"/>
          </w:tcPr>
          <w:p>
            <w:r/>
            <w:r>
              <w:rPr>
                <w:rFonts w:ascii="Calibri" w:hAnsi="Calibri" w:eastAsia="Times New Roman" w:cs="Times New Roman"/>
                <w:sz w:val="19"/>
              </w:rPr>
              <w:t>static, continuous</w:t>
            </w:r>
          </w:p>
        </w:tc>
        <w:tc>
          <w:tcPr>
            <w:tcW w:type="dxa" w:w="2648"/>
          </w:tcPr>
          <w:p>
            <w:r/>
            <w:r>
              <w:rPr>
                <w:rFonts w:ascii="Calibri" w:hAnsi="Calibri" w:eastAsia="Times New Roman" w:cs="Times New Roman"/>
                <w:sz w:val="19"/>
              </w:rPr>
              <w:t>depends on real responses</w:t>
            </w:r>
          </w:p>
        </w:tc>
      </w:tr>
      <w:tr>
        <w:tc>
          <w:tcPr>
            <w:tcW w:type="dxa" w:w="2648"/>
          </w:tcPr>
          <w:p>
            <w:r/>
            <w:r>
              <w:rPr>
                <w:rFonts w:ascii="Calibri" w:hAnsi="Calibri" w:eastAsia="Times New Roman" w:cs="Times New Roman"/>
                <w:sz w:val="19"/>
              </w:rPr>
              <w:t>SR memory difficulty D</w:t>
            </w:r>
          </w:p>
        </w:tc>
        <w:tc>
          <w:tcPr>
            <w:tcW w:type="dxa" w:w="2648"/>
          </w:tcPr>
          <w:p>
            <w:r/>
            <w:r>
              <w:rPr>
                <w:rFonts w:ascii="Calibri" w:hAnsi="Calibri" w:eastAsia="Times New Roman" w:cs="Times New Roman"/>
                <w:sz w:val="19"/>
              </w:rPr>
              <w:t>ordinal scale</w:t>
            </w:r>
          </w:p>
        </w:tc>
        <w:tc>
          <w:tcPr>
            <w:tcW w:type="dxa" w:w="2648"/>
          </w:tcPr>
          <w:p>
            <w:r/>
            <w:r>
              <w:rPr>
                <w:rFonts w:ascii="Calibri" w:hAnsi="Calibri" w:eastAsia="Times New Roman" w:cs="Times New Roman"/>
                <w:sz w:val="19"/>
              </w:rPr>
              <w:t>machine + human</w:t>
            </w:r>
          </w:p>
        </w:tc>
        <w:tc>
          <w:tcPr>
            <w:tcW w:type="dxa" w:w="2648"/>
          </w:tcPr>
          <w:p>
            <w:r/>
            <w:r>
              <w:rPr>
                <w:rFonts w:ascii="Calibri" w:hAnsi="Calibri" w:eastAsia="Times New Roman" w:cs="Times New Roman"/>
                <w:sz w:val="19"/>
              </w:rPr>
              <w:t>dynamic, discrete</w:t>
            </w:r>
          </w:p>
        </w:tc>
        <w:tc>
          <w:tcPr>
            <w:tcW w:type="dxa" w:w="2648"/>
          </w:tcPr>
          <w:p>
            <w:r/>
            <w:r>
              <w:rPr>
                <w:rFonts w:ascii="Calibri" w:hAnsi="Calibri" w:eastAsia="Times New Roman" w:cs="Times New Roman"/>
                <w:sz w:val="19"/>
              </w:rPr>
              <w:t>model-specific</w:t>
            </w:r>
          </w:p>
        </w:tc>
      </w:tr>
      <w:tr>
        <w:tc>
          <w:tcPr>
            <w:tcW w:type="dxa" w:w="2648"/>
          </w:tcPr>
          <w:p>
            <w:r/>
            <w:r>
              <w:rPr>
                <w:rFonts w:ascii="Calibri" w:hAnsi="Calibri" w:eastAsia="Times New Roman" w:cs="Times New Roman"/>
                <w:sz w:val="19"/>
              </w:rPr>
              <w:t>EL competitive rating θ_EL</w:t>
            </w:r>
          </w:p>
        </w:tc>
        <w:tc>
          <w:tcPr>
            <w:tcW w:type="dxa" w:w="2648"/>
          </w:tcPr>
          <w:p>
            <w:r/>
            <w:r>
              <w:rPr>
                <w:rFonts w:ascii="Calibri" w:hAnsi="Calibri" w:eastAsia="Times New Roman" w:cs="Times New Roman"/>
                <w:sz w:val="19"/>
              </w:rPr>
              <w:t>interval scale (log-odds scale)</w:t>
            </w:r>
          </w:p>
        </w:tc>
        <w:tc>
          <w:tcPr>
            <w:tcW w:type="dxa" w:w="2648"/>
          </w:tcPr>
          <w:p>
            <w:r/>
            <w:r>
              <w:rPr>
                <w:rFonts w:ascii="Calibri" w:hAnsi="Calibri" w:eastAsia="Times New Roman" w:cs="Times New Roman"/>
                <w:sz w:val="19"/>
              </w:rPr>
              <w:t>machine</w:t>
            </w:r>
          </w:p>
        </w:tc>
        <w:tc>
          <w:tcPr>
            <w:tcW w:type="dxa" w:w="2648"/>
          </w:tcPr>
          <w:p>
            <w:r/>
            <w:r>
              <w:rPr>
                <w:rFonts w:ascii="Calibri" w:hAnsi="Calibri" w:eastAsia="Times New Roman" w:cs="Times New Roman"/>
                <w:sz w:val="19"/>
              </w:rPr>
              <w:t>dynamic, continuous</w:t>
            </w:r>
          </w:p>
        </w:tc>
        <w:tc>
          <w:tcPr>
            <w:tcW w:type="dxa" w:w="2648"/>
          </w:tcPr>
          <w:p>
            <w:r/>
            <w:r>
              <w:rPr>
                <w:rFonts w:ascii="Calibri" w:hAnsi="Calibri" w:eastAsia="Times New Roman" w:cs="Times New Roman"/>
                <w:sz w:val="19"/>
              </w:rPr>
              <w:t>not directly dependent on ground truth</w:t>
            </w:r>
          </w:p>
        </w:tc>
      </w:tr>
      <w:tr>
        <w:tc>
          <w:tcPr>
            <w:tcW w:type="dxa" w:w="2648"/>
          </w:tcPr>
          <w:p>
            <w:r/>
            <w:r>
              <w:rPr>
                <w:rFonts w:ascii="Calibri" w:hAnsi="Calibri" w:eastAsia="Times New Roman" w:cs="Times New Roman"/>
                <w:sz w:val="19"/>
              </w:rPr>
              <w:t>WR window success rate r</w:t>
            </w:r>
          </w:p>
        </w:tc>
        <w:tc>
          <w:tcPr>
            <w:tcW w:type="dxa" w:w="2648"/>
          </w:tcPr>
          <w:p>
            <w:r/>
            <w:r>
              <w:rPr>
                <w:rFonts w:ascii="Calibri" w:hAnsi="Calibri" w:eastAsia="Times New Roman" w:cs="Times New Roman"/>
                <w:sz w:val="19"/>
              </w:rPr>
              <w:t>ratio scale</w:t>
            </w:r>
          </w:p>
        </w:tc>
        <w:tc>
          <w:tcPr>
            <w:tcW w:type="dxa" w:w="2648"/>
          </w:tcPr>
          <w:p>
            <w:r/>
            <w:r>
              <w:rPr>
                <w:rFonts w:ascii="Calibri" w:hAnsi="Calibri" w:eastAsia="Times New Roman" w:cs="Times New Roman"/>
                <w:sz w:val="19"/>
              </w:rPr>
              <w:t>machine</w:t>
            </w:r>
          </w:p>
        </w:tc>
        <w:tc>
          <w:tcPr>
            <w:tcW w:type="dxa" w:w="2648"/>
          </w:tcPr>
          <w:p>
            <w:r/>
            <w:r>
              <w:rPr>
                <w:rFonts w:ascii="Calibri" w:hAnsi="Calibri" w:eastAsia="Times New Roman" w:cs="Times New Roman"/>
                <w:sz w:val="19"/>
              </w:rPr>
              <w:t>static, continuous</w:t>
            </w:r>
          </w:p>
        </w:tc>
        <w:tc>
          <w:tcPr>
            <w:tcW w:type="dxa" w:w="2648"/>
          </w:tcPr>
          <w:p>
            <w:r/>
            <w:r>
              <w:rPr>
                <w:rFonts w:ascii="Calibri" w:hAnsi="Calibri" w:eastAsia="Times New Roman" w:cs="Times New Roman"/>
                <w:sz w:val="19"/>
              </w:rPr>
              <w:t>depends on real responses</w:t>
            </w:r>
          </w:p>
        </w:tc>
      </w:tr>
    </w:tbl>
    <w:p/>
    <w:p>
      <w:pPr>
        <w:spacing w:after="120"/>
      </w:pPr>
      <w:r>
        <w:rPr>
          <w:rFonts w:ascii="Calibri" w:hAnsi="Calibri" w:eastAsia="Times New Roman" w:cs="Times New Roman"/>
          <w:sz w:val="21"/>
        </w:rPr>
        <w:t xml:space="preserve">Two key judgements follow. First, </w:t>
      </w:r>
      <w:r>
        <w:rPr>
          <w:rFonts w:ascii="Calibri" w:hAnsi="Calibri" w:eastAsia="Times New Roman" w:cs="Times New Roman"/>
          <w:b/>
          <w:sz w:val="21"/>
        </w:rPr>
        <w:t>window success rate is not difficulty but the joint result of difficulty and ability</w:t>
      </w:r>
      <w:r>
        <w:rPr>
          <w:rFonts w:ascii="Calibri" w:hAnsi="Calibri" w:eastAsia="Times New Roman" w:cs="Times New Roman"/>
          <w:sz w:val="21"/>
        </w:rPr>
        <w:t>: it roughly satisfies r ≈ σ(θ − β), encoding both ability and difficulty, so linearly adding it to a pure difficulty measure is a category error. Second, the four sources have inconsistent scale types—there is no well-defined linear combination between ordinal, ratio, and interval scales. Together these constitute the intuitive source of the instability proposition: it is not that the fusion weights are mistuned, but that the objects being added do not belong to the same additive space.</w:t>
      </w:r>
    </w:p>
    <w:p>
      <w:pPr>
        <w:pStyle w:val="Heading2"/>
        <w:spacing w:before="120" w:after="80"/>
      </w:pPr>
      <w:r>
        <w:rPr>
          <w:rFonts w:ascii="Calibri" w:hAnsi="Calibri" w:eastAsia="Times New Roman" w:cs="Times New Roman"/>
          <w:sz w:val="27"/>
        </w:rPr>
        <w:t>3.2 Two metrics and their invariance</w:t>
      </w:r>
    </w:p>
    <w:p>
      <w:pPr>
        <w:spacing w:after="120"/>
      </w:pPr>
      <w:r>
        <w:rPr>
          <w:rFonts w:ascii="Calibri" w:hAnsi="Calibri" w:eastAsia="Times New Roman" w:cs="Times New Roman"/>
          <w:sz w:val="21"/>
        </w:rPr>
        <w:t xml:space="preserve">Let the fusion rule be S = Σ_k w_k · z_k, where z_k is the value of the k-th source after some mapping and w_k is the nominal weight. Define the </w:t>
      </w:r>
      <w:r>
        <w:rPr>
          <w:rFonts w:ascii="Calibri" w:hAnsi="Calibri" w:eastAsia="Times New Roman" w:cs="Times New Roman"/>
          <w:b/>
          <w:sz w:val="21"/>
        </w:rPr>
        <w:t>effective weight</w:t>
      </w:r>
      <w:r>
        <w:rPr>
          <w:rFonts w:ascii="Calibri" w:hAnsi="Calibri" w:eastAsia="Times New Roman" w:cs="Times New Roman"/>
          <w:sz w:val="21"/>
        </w:rPr>
        <w:t xml:space="preserve"> by the marginal-contribution method:</w:t>
      </w:r>
    </w:p>
    <w:p>
      <w:pPr>
        <w:spacing w:after="120"/>
      </w:pPr>
      <w:r>
        <w:rPr>
          <w:rFonts w:ascii="Calibri" w:hAnsi="Calibri" w:eastAsia="Times New Roman" w:cs="Times New Roman"/>
          <w:b/>
          <w:sz w:val="21"/>
        </w:rPr>
        <w:t>π_k = w_k · Cov(z_k, S) / Var(S)</w:t>
      </w:r>
      <w:r>
        <w:rPr>
          <w:rFonts w:ascii="Calibri" w:hAnsi="Calibri" w:eastAsia="Times New Roman" w:cs="Times New Roman"/>
          <w:sz w:val="21"/>
        </w:rPr>
        <w:t>, and Σ_k π_k = 1.</w:t>
      </w:r>
    </w:p>
    <w:p>
      <w:pPr>
        <w:spacing w:after="120"/>
      </w:pPr>
      <w:r>
        <w:rPr>
          <w:rFonts w:ascii="Calibri" w:hAnsi="Calibri" w:eastAsia="Times New Roman" w:cs="Times New Roman"/>
          <w:sz w:val="21"/>
        </w:rPr>
        <w:t>When the sources are orthogonal and equal in dispersion, π = w; otherwise π depends on each source's dispersion and correlation structure—which is precisely the source of drift.</w:t>
      </w:r>
    </w:p>
    <w:p>
      <w:pPr>
        <w:spacing w:after="120"/>
      </w:pPr>
      <w:r>
        <w:rPr>
          <w:rFonts w:ascii="Calibri" w:hAnsi="Calibri" w:eastAsia="Times New Roman" w:cs="Times New Roman"/>
          <w:b/>
          <w:sz w:val="21"/>
        </w:rPr>
        <w:t>Reading of negative π (must be explicitly defined).</w:t>
      </w:r>
      <w:r>
        <w:rPr>
          <w:rFonts w:ascii="Calibri" w:hAnsi="Calibri" w:eastAsia="Times New Roman" w:cs="Times New Roman"/>
          <w:sz w:val="21"/>
        </w:rPr>
        <w:t xml:space="preserve"> When a source's covariance with S is negative, π_k &lt; 0, and Σ_k π_k = 1 still holds, but </w:t>
      </w:r>
      <w:r>
        <w:rPr>
          <w:rFonts w:ascii="Calibri" w:hAnsi="Calibri" w:eastAsia="Times New Roman" w:cs="Times New Roman"/>
          <w:b/>
          <w:sz w:val="21"/>
        </w:rPr>
        <w:t>a single π_k can no longer be read as a "weight share"</w:t>
      </w:r>
      <w:r>
        <w:rPr>
          <w:rFonts w:ascii="Calibri" w:hAnsi="Calibri" w:eastAsia="Times New Roman" w:cs="Times New Roman"/>
          <w:sz w:val="21"/>
        </w:rPr>
        <w:t xml:space="preserve">—a negative value means that source plays a </w:t>
      </w:r>
      <w:r>
        <w:rPr>
          <w:rFonts w:ascii="Calibri" w:hAnsi="Calibri" w:eastAsia="Times New Roman" w:cs="Times New Roman"/>
          <w:b/>
          <w:sz w:val="21"/>
        </w:rPr>
        <w:t>counteracting</w:t>
      </w:r>
      <w:r>
        <w:rPr>
          <w:rFonts w:ascii="Calibri" w:hAnsi="Calibri" w:eastAsia="Times New Roman" w:cs="Times New Roman"/>
          <w:sz w:val="21"/>
        </w:rPr>
        <w:t xml:space="preserve"> role in the weighted sum: it does not "contribute a negative share" but raises the share of the other positive weights. Counting negative π_k into the L1 drift (the component-wise absolute sum |π − π⁰|) is therefore a </w:t>
      </w:r>
      <w:r>
        <w:rPr>
          <w:rFonts w:ascii="Calibri" w:hAnsi="Calibri" w:eastAsia="Times New Roman" w:cs="Times New Roman"/>
          <w:b/>
          <w:sz w:val="21"/>
        </w:rPr>
        <w:t>deliberately conservative</w:t>
      </w:r>
      <w:r>
        <w:rPr>
          <w:rFonts w:ascii="Calibri" w:hAnsi="Calibri" w:eastAsia="Times New Roman" w:cs="Times New Roman"/>
          <w:sz w:val="21"/>
        </w:rPr>
        <w:t xml:space="preserve"> choice: it counts both "direction flip" and "share-size change" equally as drift, rather than letting the two errors cancel through positive–negative offset. This situation does not appear in the synthetic experiment (the four sources are correlated monotone observations of one latent ability). </w:t>
      </w:r>
      <w:r>
        <w:rPr>
          <w:rFonts w:ascii="Calibri" w:hAnsi="Calibri" w:eastAsia="Times New Roman" w:cs="Times New Roman"/>
          <w:b/>
          <w:sz w:val="21"/>
        </w:rPr>
        <w:t>It must be emphasised that, under this paper's current caliber, there is also no instance of negative π in the real data, so the discussion of negative π here should be regarded as pure theoretical preparation, not an empirical claim about the real data.</w:t>
      </w:r>
    </w:p>
    <w:p>
      <w:pPr>
        <w:pStyle w:val="ListBullet"/>
        <w:spacing w:after="40"/>
      </w:pPr>
      <w:r>
        <w:rPr>
          <w:rFonts w:ascii="Calibri" w:hAnsi="Calibri" w:eastAsia="Times New Roman" w:cs="Times New Roman"/>
          <w:b/>
          <w:sz w:val="21"/>
        </w:rPr>
        <w:t>Under the current 0.5357 caliber all three components are positive</w:t>
      </w:r>
      <w:r>
        <w:rPr>
          <w:rFonts w:ascii="Calibri" w:hAnsi="Calibri" w:eastAsia="Times New Roman" w:cs="Times New Roman"/>
          <w:sz w:val="21"/>
        </w:rPr>
        <w:t xml:space="preserve">: the min-max baseline effective weights on assist09 are π = </w:t>
      </w:r>
      <w:r>
        <w:rPr>
          <w:rFonts w:ascii="Consolas" w:hAnsi="Consolas" w:eastAsia="Times New Roman" w:cs="Times New Roman"/>
          <w:sz w:val="21"/>
        </w:rPr>
        <w:t>[0.5219, 0.344, 0.1351]</w:t>
      </w:r>
      <w:r>
        <w:rPr>
          <w:rFonts w:ascii="Calibri" w:hAnsi="Calibri" w:eastAsia="Times New Roman" w:cs="Times New Roman"/>
          <w:sz w:val="21"/>
        </w:rPr>
        <w:t xml:space="preserve"> (</w:t>
      </w:r>
      <w:r>
        <w:rPr>
          <w:rFonts w:ascii="Consolas" w:hAnsi="Consolas" w:eastAsia="Times New Roman" w:cs="Times New Roman"/>
          <w:sz w:val="21"/>
        </w:rPr>
        <w:t>results/code/optimized_results.json</w:t>
      </w:r>
      <w:r>
        <w:rPr>
          <w:rFonts w:ascii="Calibri" w:hAnsi="Calibri" w:eastAsia="Times New Roman" w:cs="Times New Roman"/>
          <w:sz w:val="21"/>
        </w:rPr>
        <w:t xml:space="preserve">, O1's </w:t>
      </w:r>
      <w:r>
        <w:rPr>
          <w:rFonts w:ascii="Consolas" w:hAnsi="Consolas" w:eastAsia="Times New Roman" w:cs="Times New Roman"/>
          <w:sz w:val="21"/>
        </w:rPr>
        <w:t>o1_metric_comparison.A_minmax_linear.pi_baseline</w:t>
      </w:r>
      <w:r>
        <w:rPr>
          <w:rFonts w:ascii="Calibri" w:hAnsi="Calibri" w:eastAsia="Times New Roman" w:cs="Times New Roman"/>
          <w:sz w:val="21"/>
        </w:rPr>
        <w:t xml:space="preserve">), </w:t>
      </w:r>
      <w:r>
        <w:rPr>
          <w:rFonts w:ascii="Calibri" w:hAnsi="Calibri" w:eastAsia="Times New Roman" w:cs="Times New Roman"/>
          <w:b/>
          <w:sz w:val="21"/>
        </w:rPr>
        <w:t>all three components positive</w:t>
      </w:r>
      <w:r>
        <w:rPr>
          <w:rFonts w:ascii="Calibri" w:hAnsi="Calibri" w:eastAsia="Times New Roman" w:cs="Times New Roman"/>
          <w:sz w:val="21"/>
        </w:rPr>
        <w:t xml:space="preserve">—despite the three sources being pairwise negatively correlated (−0.25 / −0.13 / −0.30, §5.2). That is, under the current caliber </w:t>
      </w:r>
      <w:r>
        <w:rPr>
          <w:rFonts w:ascii="Calibri" w:hAnsi="Calibri" w:eastAsia="Times New Roman" w:cs="Times New Roman"/>
          <w:b/>
          <w:sz w:val="21"/>
        </w:rPr>
        <w:t>there is no instance of "negative π appearing in real data."</w:t>
      </w:r>
    </w:p>
    <w:p>
      <w:pPr>
        <w:pStyle w:val="ListBullet"/>
        <w:spacing w:after="40"/>
      </w:pPr>
      <w:r>
        <w:rPr>
          <w:rFonts w:ascii="Calibri" w:hAnsi="Calibri" w:eastAsia="Times New Roman" w:cs="Times New Roman"/>
          <w:b/>
          <w:sz w:val="21"/>
        </w:rPr>
        <w:t>The vector containing a negative component comes from the voided old caliber and is not the baseline weight</w:t>
      </w:r>
      <w:r>
        <w:rPr>
          <w:rFonts w:ascii="Calibri" w:hAnsi="Calibri" w:eastAsia="Times New Roman" w:cs="Times New Roman"/>
          <w:sz w:val="21"/>
        </w:rPr>
        <w:t xml:space="preserve">: </w:t>
      </w:r>
      <w:r>
        <w:rPr>
          <w:rFonts w:ascii="Consolas" w:hAnsi="Consolas" w:eastAsia="Times New Roman" w:cs="Times New Roman"/>
          <w:sz w:val="21"/>
        </w:rPr>
        <w:t>[0.9371, 0.0745, −0.0106]</w:t>
      </w:r>
      <w:r>
        <w:rPr>
          <w:rFonts w:ascii="Calibri" w:hAnsi="Calibri" w:eastAsia="Times New Roman" w:cs="Times New Roman"/>
          <w:sz w:val="21"/>
        </w:rPr>
        <w:t xml:space="preserve"> is the π </w:t>
      </w:r>
      <w:r>
        <w:rPr>
          <w:rFonts w:ascii="Calibri" w:hAnsi="Calibri" w:eastAsia="Times New Roman" w:cs="Times New Roman"/>
          <w:b/>
          <w:sz w:val="21"/>
        </w:rPr>
        <w:t>after applying a transform</w:t>
      </w:r>
      <w:r>
        <w:rPr>
          <w:rFonts w:ascii="Calibri" w:hAnsi="Calibri" w:eastAsia="Times New Roman" w:cs="Times New Roman"/>
          <w:sz w:val="21"/>
        </w:rPr>
        <w:t xml:space="preserve"> in the cell </w:t>
      </w:r>
      <w:r>
        <w:rPr>
          <w:rFonts w:ascii="Consolas" w:hAnsi="Consolas" w:eastAsia="Times New Roman" w:cs="Times New Roman"/>
          <w:sz w:val="21"/>
        </w:rPr>
        <w:t>irt|probit_std</w:t>
      </w:r>
      <w:r>
        <w:rPr>
          <w:rFonts w:ascii="Calibri" w:hAnsi="Calibri" w:eastAsia="Times New Roman" w:cs="Times New Roman"/>
          <w:sz w:val="21"/>
        </w:rPr>
        <w:t xml:space="preserve"> under the </w:t>
      </w:r>
      <w:r>
        <w:rPr>
          <w:rFonts w:ascii="Calibri" w:hAnsi="Calibri" w:eastAsia="Times New Roman" w:cs="Times New Roman"/>
          <w:b/>
          <w:sz w:val="21"/>
        </w:rPr>
        <w:t>voided</w:t>
      </w:r>
      <w:r>
        <w:rPr>
          <w:rFonts w:ascii="Calibri" w:hAnsi="Calibri" w:eastAsia="Times New Roman" w:cs="Times New Roman"/>
          <w:sz w:val="21"/>
        </w:rPr>
        <w:t xml:space="preserve"> old-sign caliber (L1_mean = 0.7597), located at </w:t>
      </w:r>
      <w:r>
        <w:rPr>
          <w:rFonts w:ascii="Consolas" w:hAnsi="Consolas" w:eastAsia="Times New Roman" w:cs="Times New Roman"/>
          <w:sz w:val="21"/>
        </w:rPr>
        <w:t>results/code/deprecated/assist09_drift_v1_sign_mixed.json</w:t>
      </w:r>
      <w:r>
        <w:rPr>
          <w:rFonts w:ascii="Calibri" w:hAnsi="Calibri" w:eastAsia="Times New Roman" w:cs="Times New Roman"/>
          <w:sz w:val="21"/>
        </w:rPr>
        <w:t xml:space="preserve">'s </w:t>
      </w:r>
      <w:r>
        <w:rPr>
          <w:rFonts w:ascii="Consolas" w:hAnsi="Consolas" w:eastAsia="Times New Roman" w:cs="Times New Roman"/>
          <w:sz w:val="21"/>
        </w:rPr>
        <w:t>payload.transforms["irt|probit_std"].pi</w:t>
      </w:r>
      <w:r>
        <w:rPr>
          <w:rFonts w:ascii="Calibri" w:hAnsi="Calibri" w:eastAsia="Times New Roman" w:cs="Times New Roman"/>
          <w:sz w:val="21"/>
        </w:rPr>
        <w:t xml:space="preserve"> (</w:t>
      </w:r>
      <w:r>
        <w:rPr>
          <w:rFonts w:ascii="Consolas" w:hAnsi="Consolas" w:eastAsia="Times New Roman" w:cs="Times New Roman"/>
          <w:sz w:val="21"/>
        </w:rPr>
        <w:t>:28-36</w:t>
      </w:r>
      <w:r>
        <w:rPr>
          <w:rFonts w:ascii="Calibri" w:hAnsi="Calibri" w:eastAsia="Times New Roman" w:cs="Times New Roman"/>
          <w:sz w:val="21"/>
        </w:rPr>
        <w:t xml:space="preserve">), </w:t>
      </w:r>
      <w:r>
        <w:rPr>
          <w:rFonts w:ascii="Calibri" w:hAnsi="Calibri" w:eastAsia="Times New Roman" w:cs="Times New Roman"/>
          <w:b/>
          <w:sz w:val="21"/>
        </w:rPr>
        <w:t>not</w:t>
      </w:r>
      <w:r>
        <w:rPr>
          <w:rFonts w:ascii="Calibri" w:hAnsi="Calibri" w:eastAsia="Times New Roman" w:cs="Times New Roman"/>
          <w:sz w:val="21"/>
        </w:rPr>
        <w:t xml:space="preserve"> </w:t>
      </w:r>
      <w:r>
        <w:rPr>
          <w:rFonts w:ascii="Consolas" w:hAnsi="Consolas" w:eastAsia="Times New Roman" w:cs="Times New Roman"/>
          <w:sz w:val="21"/>
        </w:rPr>
        <w:t>payload.pi_baseline</w:t>
      </w:r>
      <w:r>
        <w:rPr>
          <w:rFonts w:ascii="Calibri" w:hAnsi="Calibri" w:eastAsia="Times New Roman" w:cs="Times New Roman"/>
          <w:sz w:val="21"/>
        </w:rPr>
        <w:t xml:space="preserve">; that file self-marks </w:t>
      </w:r>
      <w:r>
        <w:rPr>
          <w:rFonts w:ascii="Consolas" w:hAnsi="Consolas" w:eastAsia="Times New Roman" w:cs="Times New Roman"/>
          <w:sz w:val="21"/>
        </w:rPr>
        <w:t>_reason: "...L1_mean = 0.7597 voided, do not cite"</w:t>
      </w:r>
      <w:r>
        <w:rPr>
          <w:rFonts w:ascii="Calibri" w:hAnsi="Calibri" w:eastAsia="Times New Roman" w:cs="Times New Roman"/>
          <w:sz w:val="21"/>
        </w:rPr>
        <w:t xml:space="preserve">, and its real </w:t>
      </w:r>
      <w:r>
        <w:rPr>
          <w:rFonts w:ascii="Consolas" w:hAnsi="Consolas" w:eastAsia="Times New Roman" w:cs="Times New Roman"/>
          <w:sz w:val="21"/>
        </w:rPr>
        <w:t>payload.pi_baseline</w:t>
      </w:r>
      <w:r>
        <w:rPr>
          <w:rFonts w:ascii="Calibri" w:hAnsi="Calibri" w:eastAsia="Times New Roman" w:cs="Times New Roman"/>
          <w:sz w:val="21"/>
        </w:rPr>
        <w:t xml:space="preserve"> (</w:t>
      </w:r>
      <w:r>
        <w:rPr>
          <w:rFonts w:ascii="Consolas" w:hAnsi="Consolas" w:eastAsia="Times New Roman" w:cs="Times New Roman"/>
          <w:sz w:val="21"/>
        </w:rPr>
        <w:t>:13-17</w:t>
      </w:r>
      <w:r>
        <w:rPr>
          <w:rFonts w:ascii="Calibri" w:hAnsi="Calibri" w:eastAsia="Times New Roman" w:cs="Times New Roman"/>
          <w:sz w:val="21"/>
        </w:rPr>
        <w:t xml:space="preserve">) = </w:t>
      </w:r>
      <w:r>
        <w:rPr>
          <w:rFonts w:ascii="Consolas" w:hAnsi="Consolas" w:eastAsia="Times New Roman" w:cs="Times New Roman"/>
          <w:sz w:val="21"/>
        </w:rPr>
        <w:t>[0.5406, 0.3878, 0.0726]</w:t>
      </w:r>
      <w:r>
        <w:rPr>
          <w:rFonts w:ascii="Calibri" w:hAnsi="Calibri" w:eastAsia="Times New Roman" w:cs="Times New Roman"/>
          <w:sz w:val="21"/>
        </w:rPr>
        <w:t>, likewise with no negative component.</w:t>
      </w:r>
    </w:p>
    <w:p>
      <w:pPr>
        <w:spacing w:after="120"/>
      </w:pPr>
      <w:r>
        <w:rPr>
          <w:rFonts w:ascii="Calibri" w:hAnsi="Calibri" w:eastAsia="Times New Roman" w:cs="Times New Roman"/>
          <w:sz w:val="21"/>
        </w:rPr>
        <w:t>Therefore our reading of L1 drift is uniformly limited to "the magnitude of change of the effective-weight vector," and is not read as "redistribution of shares"; the discussion of negative π is used only to fix the reading caliber of L1 drift and must not be cited as evidence that negative weights have appeared in the real data.</w:t>
      </w:r>
    </w:p>
    <w:p>
      <w:pPr>
        <w:spacing w:after="120"/>
      </w:pPr>
      <w:r>
        <w:rPr>
          <w:rFonts w:ascii="Calibri" w:hAnsi="Calibri" w:eastAsia="Times New Roman" w:cs="Times New Roman"/>
          <w:sz w:val="21"/>
        </w:rPr>
        <w:t>This paper compares two metrics:</w:t>
      </w:r>
    </w:p>
    <w:p>
      <w:pPr>
        <w:spacing w:after="120"/>
      </w:pPr>
      <w:r>
        <w:rPr>
          <w:rFonts w:ascii="Calibri" w:hAnsi="Calibri" w:eastAsia="Times New Roman" w:cs="Times New Roman"/>
          <w:b/>
          <w:sz w:val="21"/>
        </w:rPr>
        <w:t>Table 3. Two fusion metrics and their invariance to reparameterisation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Metric</w:t>
            </w:r>
          </w:p>
        </w:tc>
        <w:tc>
          <w:tcPr>
            <w:tcW w:type="dxa" w:w="4413"/>
            <w:shd w:val="clear" w:color="auto" w:fill="DDDDDD"/>
          </w:tcPr>
          <w:p>
            <w:r>
              <w:rPr>
                <w:b/>
              </w:rPr>
            </w:r>
            <w:r>
              <w:rPr>
                <w:rFonts w:ascii="Calibri" w:hAnsi="Calibri" w:eastAsia="Times New Roman" w:cs="Times New Roman"/>
                <w:b/>
                <w:sz w:val="19"/>
              </w:rPr>
              <w:t>Definition</w:t>
            </w:r>
          </w:p>
        </w:tc>
        <w:tc>
          <w:tcPr>
            <w:tcW w:type="dxa" w:w="4413"/>
            <w:shd w:val="clear" w:color="auto" w:fill="DDDDDD"/>
          </w:tcPr>
          <w:p>
            <w:r>
              <w:rPr>
                <w:b/>
              </w:rPr>
            </w:r>
            <w:r>
              <w:rPr>
                <w:rFonts w:ascii="Calibri" w:hAnsi="Calibri" w:eastAsia="Times New Roman" w:cs="Times New Roman"/>
                <w:b/>
                <w:sz w:val="19"/>
              </w:rPr>
              <w:t>Invariance to reparameterisation</w:t>
            </w:r>
          </w:p>
        </w:tc>
      </w:tr>
      <w:tr>
        <w:tc>
          <w:tcPr>
            <w:tcW w:type="dxa" w:w="4413"/>
          </w:tcPr>
          <w:p>
            <w:r/>
            <w:r>
              <w:rPr>
                <w:rFonts w:ascii="Calibri" w:hAnsi="Calibri" w:eastAsia="Times New Roman" w:cs="Times New Roman"/>
                <w:sz w:val="19"/>
              </w:rPr>
              <w:t>A: linear [0,1]</w:t>
            </w:r>
          </w:p>
        </w:tc>
        <w:tc>
          <w:tcPr>
            <w:tcW w:type="dxa" w:w="4413"/>
          </w:tcPr>
          <w:p>
            <w:r/>
            <w:r>
              <w:rPr>
                <w:rFonts w:ascii="Calibri" w:hAnsi="Calibri" w:eastAsia="Times New Roman" w:cs="Times New Roman"/>
                <w:sz w:val="19"/>
              </w:rPr>
              <w:t>min-max per column then linear weighting</w:t>
            </w:r>
          </w:p>
        </w:tc>
        <w:tc>
          <w:tcPr>
            <w:tcW w:type="dxa" w:w="4413"/>
          </w:tcPr>
          <w:p>
            <w:r/>
            <w:r>
              <w:rPr>
                <w:rFonts w:ascii="Calibri" w:hAnsi="Calibri" w:eastAsia="Times New Roman" w:cs="Times New Roman"/>
                <w:b/>
                <w:sz w:val="19"/>
              </w:rPr>
              <w:t>invariant only to affine y′ = ay + b</w:t>
            </w:r>
            <w:r>
              <w:rPr>
                <w:rFonts w:ascii="Calibri" w:hAnsi="Calibri" w:eastAsia="Times New Roman" w:cs="Times New Roman"/>
                <w:sz w:val="19"/>
              </w:rPr>
              <w:t xml:space="preserve"> (absorbed by min-max); drifts under nonlinear monotone transforms</w:t>
            </w:r>
          </w:p>
        </w:tc>
      </w:tr>
      <w:tr>
        <w:tc>
          <w:tcPr>
            <w:tcW w:type="dxa" w:w="4413"/>
          </w:tcPr>
          <w:p>
            <w:r/>
            <w:r>
              <w:rPr>
                <w:rFonts w:ascii="Calibri" w:hAnsi="Calibri" w:eastAsia="Times New Roman" w:cs="Times New Roman"/>
                <w:sz w:val="19"/>
              </w:rPr>
              <w:t>B: quantile logit</w:t>
            </w:r>
          </w:p>
        </w:tc>
        <w:tc>
          <w:tcPr>
            <w:tcW w:type="dxa" w:w="4413"/>
          </w:tcPr>
          <w:p>
            <w:r/>
            <w:r>
              <w:rPr>
                <w:rFonts w:ascii="Calibri" w:hAnsi="Calibri" w:eastAsia="Times New Roman" w:cs="Times New Roman"/>
                <w:sz w:val="19"/>
              </w:rPr>
              <w:t>per column link via step empirical CDF to logit latent scale ψ = ln(p/(1−p)), p = (#{x_cal ≤ x} + 0.5)/(n + 1)</w:t>
            </w:r>
          </w:p>
        </w:tc>
        <w:tc>
          <w:tcPr>
            <w:tcW w:type="dxa" w:w="4413"/>
          </w:tcPr>
          <w:p>
            <w:r/>
            <w:r>
              <w:rPr>
                <w:rFonts w:ascii="Calibri" w:hAnsi="Calibri" w:eastAsia="Times New Roman" w:cs="Times New Roman"/>
                <w:b/>
                <w:sz w:val="19"/>
              </w:rPr>
              <w:t>strictly invariant to any strictly monotone transform</w:t>
            </w:r>
            <w:r>
              <w:rPr>
                <w:rFonts w:ascii="Calibri" w:hAnsi="Calibri" w:eastAsia="Times New Roman" w:cs="Times New Roman"/>
                <w:sz w:val="19"/>
              </w:rPr>
              <w:t xml:space="preserve"> (rank invariance, analytic identity)</w:t>
            </w:r>
          </w:p>
        </w:tc>
      </w:tr>
    </w:tbl>
    <w:p/>
    <w:p>
      <w:pPr>
        <w:spacing w:after="120"/>
      </w:pPr>
      <w:r>
        <w:rPr>
          <w:rFonts w:ascii="Calibri" w:hAnsi="Calibri" w:eastAsia="Times New Roman" w:cs="Times New Roman"/>
          <w:sz w:val="21"/>
        </w:rPr>
        <w:t xml:space="preserve">The invariance of metric B is an identity, not a discovery: for strictly increasing g, #{g(x_cal) ≤ g(x)} = #{x_cal ≤ x}, so ψ is pointwise invariant. This paper treats it as a </w:t>
      </w:r>
      <w:r>
        <w:rPr>
          <w:rFonts w:ascii="Calibri" w:hAnsi="Calibri" w:eastAsia="Times New Roman" w:cs="Times New Roman"/>
          <w:b/>
          <w:sz w:val="21"/>
        </w:rPr>
        <w:t>verification object</w:t>
      </w:r>
      <w:r>
        <w:rPr>
          <w:rFonts w:ascii="Calibri" w:hAnsi="Calibri" w:eastAsia="Times New Roman" w:cs="Times New Roman"/>
          <w:sz w:val="21"/>
        </w:rPr>
        <w:t>, not a contribution: we recompute with finite samples, confirm the deviation is 0, and additionally report the sampling-noise magnitude under independent calibration.</w:t>
      </w:r>
    </w:p>
    <w:p>
      <w:pPr>
        <w:pStyle w:val="Heading2"/>
        <w:spacing w:before="120" w:after="80"/>
      </w:pPr>
      <w:r>
        <w:rPr>
          <w:rFonts w:ascii="Calibri" w:hAnsi="Calibri" w:eastAsia="Times New Roman" w:cs="Times New Roman"/>
          <w:sz w:val="27"/>
        </w:rPr>
        <w:t>3.3 Proposition C1 and its testable implications</w:t>
      </w:r>
    </w:p>
    <w:p>
      <w:pPr>
        <w:spacing w:after="120"/>
      </w:pPr>
      <w:r>
        <w:rPr>
          <w:rFonts w:ascii="Calibri" w:hAnsi="Calibri" w:eastAsia="Times New Roman" w:cs="Times New Roman"/>
          <w:b/>
          <w:sz w:val="21"/>
        </w:rPr>
        <w:t>Proposition C1 (instability).</w:t>
      </w:r>
      <w:r>
        <w:rPr>
          <w:rFonts w:ascii="Calibri" w:hAnsi="Calibri" w:eastAsia="Times New Roman" w:cs="Times New Roman"/>
          <w:sz w:val="21"/>
        </w:rPr>
        <w:t xml:space="preserve"> If sources are each first normalised to [0,1] and then linearly combined, the effective weight π generally differs from the nominal weight w and drifts with any monotone reparameterisation of a single source; if sources are first linked through the empirical CDF to a logit metric and then fused, π is strictly invariant to any strictly monotone reparameterisation, and under finite calibration samples the deviation comes only from linking sampling error.</w:t>
      </w:r>
    </w:p>
    <w:p>
      <w:pPr>
        <w:spacing w:after="120"/>
      </w:pPr>
      <w:r>
        <w:rPr>
          <w:rFonts w:ascii="Calibri" w:hAnsi="Calibri" w:eastAsia="Times New Roman" w:cs="Times New Roman"/>
          <w:sz w:val="21"/>
        </w:rPr>
        <w:t>This yields three testable implications, tested respectively in §4 (synthetic) and §5 (real):</w:t>
      </w:r>
    </w:p>
    <w:p>
      <w:pPr>
        <w:pStyle w:val="ListBullet"/>
        <w:spacing w:after="40"/>
      </w:pPr>
      <w:r>
        <w:rPr>
          <w:rFonts w:ascii="Calibri" w:hAnsi="Calibri" w:eastAsia="Times New Roman" w:cs="Times New Roman"/>
          <w:b/>
          <w:sz w:val="21"/>
        </w:rPr>
        <w:t>P1</w:t>
      </w:r>
      <w:r>
        <w:rPr>
          <w:rFonts w:ascii="Calibri" w:hAnsi="Calibri" w:eastAsia="Times New Roman" w:cs="Times New Roman"/>
          <w:sz w:val="21"/>
        </w:rPr>
        <w:t>: under metric A, the baseline (untransformed) effective weight already deviates from the nominal weight;</w:t>
      </w:r>
    </w:p>
    <w:p>
      <w:pPr>
        <w:pStyle w:val="ListBullet"/>
        <w:spacing w:after="40"/>
      </w:pPr>
      <w:r>
        <w:rPr>
          <w:rFonts w:ascii="Calibri" w:hAnsi="Calibri" w:eastAsia="Times New Roman" w:cs="Times New Roman"/>
          <w:b/>
          <w:sz w:val="21"/>
        </w:rPr>
        <w:t>P2</w:t>
      </w:r>
      <w:r>
        <w:rPr>
          <w:rFonts w:ascii="Calibri" w:hAnsi="Calibri" w:eastAsia="Times New Roman" w:cs="Times New Roman"/>
          <w:sz w:val="21"/>
        </w:rPr>
        <w:t>: under metric A, affine reparameterisation drift is 0, nonlinear monotone reparameterisation drift &gt; 0, and there exists a transform inducing rank reversal;</w:t>
      </w:r>
    </w:p>
    <w:p>
      <w:pPr>
        <w:pStyle w:val="ListBullet"/>
        <w:spacing w:after="40"/>
      </w:pPr>
      <w:r>
        <w:rPr>
          <w:rFonts w:ascii="Calibri" w:hAnsi="Calibri" w:eastAsia="Times New Roman" w:cs="Times New Roman"/>
          <w:b/>
          <w:sz w:val="21"/>
        </w:rPr>
        <w:t>P3</w:t>
      </w:r>
      <w:r>
        <w:rPr>
          <w:rFonts w:ascii="Calibri" w:hAnsi="Calibri" w:eastAsia="Times New Roman" w:cs="Times New Roman"/>
          <w:sz w:val="21"/>
        </w:rPr>
        <w:t>: under metric B, shared-calibration drift is 0, independent-calibration drift is only sampling-noise magnitude, and zero rank reversal.</w:t>
      </w:r>
    </w:p>
    <w:p>
      <w:pPr>
        <w:pStyle w:val="Heading1"/>
        <w:spacing w:before="200" w:after="80"/>
      </w:pPr>
      <w:r>
        <w:rPr>
          <w:rFonts w:ascii="Calibri" w:hAnsi="Calibri" w:eastAsia="Times New Roman" w:cs="Times New Roman"/>
          <w:sz w:val="32"/>
        </w:rPr>
        <w:t>4 Method Validation: the Proposition on Synthetic Data</w:t>
      </w:r>
    </w:p>
    <w:p>
      <w:pPr>
        <w:pStyle w:val="Heading2"/>
        <w:spacing w:before="120" w:after="80"/>
      </w:pPr>
      <w:r>
        <w:rPr>
          <w:rFonts w:ascii="Calibri" w:hAnsi="Calibri" w:eastAsia="Times New Roman" w:cs="Times New Roman"/>
          <w:sz w:val="27"/>
        </w:rPr>
        <w:t>4.1 Generative model and experimental setup</w:t>
      </w:r>
    </w:p>
    <w:p>
      <w:pPr>
        <w:spacing w:after="120"/>
      </w:pPr>
      <w:r>
        <w:rPr>
          <w:rFonts w:ascii="Calibri" w:hAnsi="Calibri" w:eastAsia="Times New Roman" w:cs="Times New Roman"/>
          <w:sz w:val="21"/>
        </w:rPr>
        <w:t xml:space="preserve">The purpose of this section is to test the proposition in an environment with a </w:t>
      </w:r>
      <w:r>
        <w:rPr>
          <w:rFonts w:ascii="Calibri" w:hAnsi="Calibri" w:eastAsia="Times New Roman" w:cs="Times New Roman"/>
          <w:b/>
          <w:sz w:val="21"/>
        </w:rPr>
        <w:t>known truth structure</w:t>
      </w:r>
      <w:r>
        <w:rPr>
          <w:rFonts w:ascii="Calibri" w:hAnsi="Calibri" w:eastAsia="Times New Roman" w:cs="Times New Roman"/>
          <w:sz w:val="21"/>
        </w:rPr>
        <w:t>, not to estimate any real-system parameter. Common latent ability θ ∼ N(0,1), sample size n = 500, calibration sample independently drawn n_cal = 500; the four sources are monotone functions of θ plus source-specific noise:</w:t>
      </w:r>
    </w:p>
    <w:p>
      <w:pPr>
        <w:spacing w:after="120"/>
      </w:pPr>
      <w:r>
        <w:rPr>
          <w:rFonts w:ascii="Calibri" w:hAnsi="Calibri" w:eastAsia="Times New Roman" w:cs="Times New Roman"/>
          <w:b/>
          <w:sz w:val="21"/>
        </w:rPr>
        <w:t>Table 4. Synthetic generative model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Source</w:t>
            </w:r>
          </w:p>
        </w:tc>
        <w:tc>
          <w:tcPr>
            <w:tcW w:type="dxa" w:w="4413"/>
            <w:shd w:val="clear" w:color="auto" w:fill="DDDDDD"/>
          </w:tcPr>
          <w:p>
            <w:r>
              <w:rPr>
                <w:b/>
              </w:rPr>
            </w:r>
            <w:r>
              <w:rPr>
                <w:rFonts w:ascii="Calibri" w:hAnsi="Calibri" w:eastAsia="Times New Roman" w:cs="Times New Roman"/>
                <w:b/>
                <w:sz w:val="19"/>
              </w:rPr>
              <w:t>Generative form</w:t>
            </w:r>
          </w:p>
        </w:tc>
        <w:tc>
          <w:tcPr>
            <w:tcW w:type="dxa" w:w="4413"/>
            <w:shd w:val="clear" w:color="auto" w:fill="DDDDDD"/>
          </w:tcPr>
          <w:p>
            <w:r>
              <w:rPr>
                <w:b/>
              </w:rPr>
            </w:r>
            <w:r>
              <w:rPr>
                <w:rFonts w:ascii="Calibri" w:hAnsi="Calibri" w:eastAsia="Times New Roman" w:cs="Times New Roman"/>
                <w:b/>
                <w:sz w:val="19"/>
              </w:rPr>
              <w:t>Scale</w:t>
            </w:r>
          </w:p>
        </w:tc>
      </w:tr>
      <w:tr>
        <w:tc>
          <w:tcPr>
            <w:tcW w:type="dxa" w:w="4413"/>
          </w:tcPr>
          <w:p>
            <w:r/>
            <w:r>
              <w:rPr>
                <w:rFonts w:ascii="Calibri" w:hAnsi="Calibri" w:eastAsia="Times New Roman" w:cs="Times New Roman"/>
                <w:sz w:val="19"/>
              </w:rPr>
              <w:t>X₁ mastery</w:t>
            </w:r>
          </w:p>
        </w:tc>
        <w:tc>
          <w:tcPr>
            <w:tcW w:type="dxa" w:w="4413"/>
          </w:tcPr>
          <w:p>
            <w:r/>
            <w:r>
              <w:rPr>
                <w:rFonts w:ascii="Calibri" w:hAnsi="Calibri" w:eastAsia="Times New Roman" w:cs="Times New Roman"/>
                <w:sz w:val="19"/>
              </w:rPr>
              <w:t>σ(1.1θ + 0.2 + 0.30ε₁)</w:t>
            </w:r>
          </w:p>
        </w:tc>
        <w:tc>
          <w:tcPr>
            <w:tcW w:type="dxa" w:w="4413"/>
          </w:tcPr>
          <w:p>
            <w:r/>
            <w:r>
              <w:rPr>
                <w:rFonts w:ascii="Calibri" w:hAnsi="Calibri" w:eastAsia="Times New Roman" w:cs="Times New Roman"/>
                <w:sz w:val="19"/>
              </w:rPr>
              <w:t>probability [0,1]</w:t>
            </w:r>
          </w:p>
        </w:tc>
      </w:tr>
      <w:tr>
        <w:tc>
          <w:tcPr>
            <w:tcW w:type="dxa" w:w="4413"/>
          </w:tcPr>
          <w:p>
            <w:r/>
            <w:r>
              <w:rPr>
                <w:rFonts w:ascii="Calibri" w:hAnsi="Calibri" w:eastAsia="Times New Roman" w:cs="Times New Roman"/>
                <w:sz w:val="19"/>
              </w:rPr>
              <w:t>X₂ memory difficulty</w:t>
            </w:r>
          </w:p>
        </w:tc>
        <w:tc>
          <w:tcPr>
            <w:tcW w:type="dxa" w:w="4413"/>
          </w:tcPr>
          <w:p>
            <w:r/>
            <w:r>
              <w:rPr>
                <w:rFonts w:ascii="Calibri" w:hAnsi="Calibri" w:eastAsia="Times New Roman" w:cs="Times New Roman"/>
                <w:sz w:val="19"/>
              </w:rPr>
              <w:t>exp(0.7θ + 0.3 + 0.25ε₂)</w:t>
            </w:r>
          </w:p>
        </w:tc>
        <w:tc>
          <w:tcPr>
            <w:tcW w:type="dxa" w:w="4413"/>
          </w:tcPr>
          <w:p>
            <w:r/>
            <w:r>
              <w:rPr>
                <w:rFonts w:ascii="Calibri" w:hAnsi="Calibri" w:eastAsia="Times New Roman" w:cs="Times New Roman"/>
                <w:sz w:val="19"/>
              </w:rPr>
              <w:t>positive scale (exponential)</w:t>
            </w:r>
          </w:p>
        </w:tc>
      </w:tr>
      <w:tr>
        <w:tc>
          <w:tcPr>
            <w:tcW w:type="dxa" w:w="4413"/>
          </w:tcPr>
          <w:p>
            <w:r/>
            <w:r>
              <w:rPr>
                <w:rFonts w:ascii="Calibri" w:hAnsi="Calibri" w:eastAsia="Times New Roman" w:cs="Times New Roman"/>
                <w:sz w:val="19"/>
              </w:rPr>
              <w:t>X₃ competitive rating</w:t>
            </w:r>
          </w:p>
        </w:tc>
        <w:tc>
          <w:tcPr>
            <w:tcW w:type="dxa" w:w="4413"/>
          </w:tcPr>
          <w:p>
            <w:r/>
            <w:r>
              <w:rPr>
                <w:rFonts w:ascii="Calibri" w:hAnsi="Calibri" w:eastAsia="Times New Roman" w:cs="Times New Roman"/>
                <w:sz w:val="19"/>
              </w:rPr>
              <w:t>1200 + 250θ + 40ε₃</w:t>
            </w:r>
          </w:p>
        </w:tc>
        <w:tc>
          <w:tcPr>
            <w:tcW w:type="dxa" w:w="4413"/>
          </w:tcPr>
          <w:p>
            <w:r/>
            <w:r>
              <w:rPr>
                <w:rFonts w:ascii="Calibri" w:hAnsi="Calibri" w:eastAsia="Times New Roman" w:cs="Times New Roman"/>
                <w:sz w:val="19"/>
              </w:rPr>
              <w:t>wide linear scale</w:t>
            </w:r>
          </w:p>
        </w:tc>
      </w:tr>
      <w:tr>
        <w:tc>
          <w:tcPr>
            <w:tcW w:type="dxa" w:w="4413"/>
          </w:tcPr>
          <w:p>
            <w:r/>
            <w:r>
              <w:rPr>
                <w:rFonts w:ascii="Calibri" w:hAnsi="Calibri" w:eastAsia="Times New Roman" w:cs="Times New Roman"/>
                <w:sz w:val="19"/>
              </w:rPr>
              <w:t>X₄ window success rate</w:t>
            </w:r>
          </w:p>
        </w:tc>
        <w:tc>
          <w:tcPr>
            <w:tcW w:type="dxa" w:w="4413"/>
          </w:tcPr>
          <w:p>
            <w:r/>
            <w:r>
              <w:rPr>
                <w:rFonts w:ascii="Calibri" w:hAnsi="Calibri" w:eastAsia="Times New Roman" w:cs="Times New Roman"/>
                <w:sz w:val="19"/>
              </w:rPr>
              <w:t>σ(0.9θ − 0.1 + 0.30ε₄)</w:t>
            </w:r>
          </w:p>
        </w:tc>
        <w:tc>
          <w:tcPr>
            <w:tcW w:type="dxa" w:w="4413"/>
          </w:tcPr>
          <w:p>
            <w:r/>
            <w:r>
              <w:rPr>
                <w:rFonts w:ascii="Calibri" w:hAnsi="Calibri" w:eastAsia="Times New Roman" w:cs="Times New Roman"/>
                <w:sz w:val="19"/>
              </w:rPr>
              <w:t>probability [0,1]</w:t>
            </w:r>
          </w:p>
        </w:tc>
      </w:tr>
    </w:tbl>
    <w:p/>
    <w:p>
      <w:pPr>
        <w:spacing w:after="120"/>
      </w:pPr>
      <w:r>
        <w:rPr>
          <w:rFonts w:ascii="Calibri" w:hAnsi="Calibri" w:eastAsia="Times New Roman" w:cs="Times New Roman"/>
          <w:sz w:val="21"/>
        </w:rPr>
        <w:t>ε_k ∼ N(0,1) independent. The four sources are correlated monotone observations of one latent ability—the most favourable environment where "a true common metric exists"—but with different dispersions and shapes. The main nominal-weight configuration is w = (0.40, 0.30, 0.20, 0.10), the robust configuration is three sources w = (0.45, 0.35, 0.20). For any single source we apply 9 affine transforms (a ∈ {0.5, 1, 2} × b ∈ {−0.5, 0, 0.5}) and 7 nonlinear monotone transforms (</w:t>
      </w:r>
      <w:r>
        <w:rPr>
          <w:rFonts w:ascii="Consolas" w:hAnsi="Consolas" w:eastAsia="Times New Roman" w:cs="Times New Roman"/>
          <w:sz w:val="21"/>
        </w:rPr>
        <w:t>power2</w:t>
      </w:r>
      <w:r>
        <w:rPr>
          <w:rFonts w:ascii="Calibri" w:hAnsi="Calibri" w:eastAsia="Times New Roman" w:cs="Times New Roman"/>
          <w:sz w:val="21"/>
        </w:rPr>
        <w:t xml:space="preserve">, </w:t>
      </w:r>
      <w:r>
        <w:rPr>
          <w:rFonts w:ascii="Consolas" w:hAnsi="Consolas" w:eastAsia="Times New Roman" w:cs="Times New Roman"/>
          <w:sz w:val="21"/>
        </w:rPr>
        <w:t>power3</w:t>
      </w:r>
      <w:r>
        <w:rPr>
          <w:rFonts w:ascii="Calibri" w:hAnsi="Calibri" w:eastAsia="Times New Roman" w:cs="Times New Roman"/>
          <w:sz w:val="21"/>
        </w:rPr>
        <w:t xml:space="preserve">, </w:t>
      </w:r>
      <w:r>
        <w:rPr>
          <w:rFonts w:ascii="Consolas" w:hAnsi="Consolas" w:eastAsia="Times New Roman" w:cs="Times New Roman"/>
          <w:sz w:val="21"/>
        </w:rPr>
        <w:t>sqrt</w:t>
      </w:r>
      <w:r>
        <w:rPr>
          <w:rFonts w:ascii="Calibri" w:hAnsi="Calibri" w:eastAsia="Times New Roman" w:cs="Times New Roman"/>
          <w:sz w:val="21"/>
        </w:rPr>
        <w:t xml:space="preserve">, </w:t>
      </w:r>
      <w:r>
        <w:rPr>
          <w:rFonts w:ascii="Consolas" w:hAnsi="Consolas" w:eastAsia="Times New Roman" w:cs="Times New Roman"/>
          <w:sz w:val="21"/>
        </w:rPr>
        <w:t>log</w:t>
      </w:r>
      <w:r>
        <w:rPr>
          <w:rFonts w:ascii="Calibri" w:hAnsi="Calibri" w:eastAsia="Times New Roman" w:cs="Times New Roman"/>
          <w:sz w:val="21"/>
        </w:rPr>
        <w:t xml:space="preserve">, </w:t>
      </w:r>
      <w:r>
        <w:rPr>
          <w:rFonts w:ascii="Consolas" w:hAnsi="Consolas" w:eastAsia="Times New Roman" w:cs="Times New Roman"/>
          <w:sz w:val="21"/>
        </w:rPr>
        <w:t>exp_scaled</w:t>
      </w:r>
      <w:r>
        <w:rPr>
          <w:rFonts w:ascii="Calibri" w:hAnsi="Calibri" w:eastAsia="Times New Roman" w:cs="Times New Roman"/>
          <w:sz w:val="21"/>
        </w:rPr>
        <w:t xml:space="preserve">, </w:t>
      </w:r>
      <w:r>
        <w:rPr>
          <w:rFonts w:ascii="Consolas" w:hAnsi="Consolas" w:eastAsia="Times New Roman" w:cs="Times New Roman"/>
          <w:sz w:val="21"/>
        </w:rPr>
        <w:t>probit_std</w:t>
      </w:r>
      <w:r>
        <w:rPr>
          <w:rFonts w:ascii="Calibri" w:hAnsi="Calibri" w:eastAsia="Times New Roman" w:cs="Times New Roman"/>
          <w:sz w:val="21"/>
        </w:rPr>
        <w:t xml:space="preserve">, </w:t>
      </w:r>
      <w:r>
        <w:rPr>
          <w:rFonts w:ascii="Consolas" w:hAnsi="Consolas" w:eastAsia="Times New Roman" w:cs="Times New Roman"/>
          <w:sz w:val="21"/>
        </w:rPr>
        <w:t>logit_minmax</w:t>
      </w:r>
      <w:r>
        <w:rPr>
          <w:rFonts w:ascii="Calibri" w:hAnsi="Calibri" w:eastAsia="Times New Roman" w:cs="Times New Roman"/>
          <w:sz w:val="21"/>
        </w:rPr>
        <w:t>); transform parameters are fixed on the test sample and then applied with the same parameters to the calibration sample, ensuring it is the same reparameterisation. Each (source, transform) is repeated R = 200 times.</w:t>
      </w:r>
    </w:p>
    <w:p>
      <w:pPr>
        <w:pStyle w:val="Heading2"/>
        <w:spacing w:before="120" w:after="80"/>
      </w:pPr>
      <w:r>
        <w:rPr>
          <w:rFonts w:ascii="Calibri" w:hAnsi="Calibri" w:eastAsia="Times New Roman" w:cs="Times New Roman"/>
          <w:sz w:val="27"/>
        </w:rPr>
        <w:t>4.2 Baseline: effective weights already differ from nominal</w:t>
      </w:r>
    </w:p>
    <w:p>
      <w:pPr>
        <w:spacing w:after="120"/>
      </w:pPr>
      <w:r>
        <w:rPr>
          <w:rFonts w:ascii="Calibri" w:hAnsi="Calibri" w:eastAsia="Times New Roman" w:cs="Times New Roman"/>
          <w:b/>
          <w:sz w:val="21"/>
        </w:rPr>
        <w:t>Table 5. Baseline effective weights already deviate from nominal weights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Times New Roman" w:cs="Times New Roman"/>
                <w:b/>
                <w:sz w:val="19"/>
              </w:rPr>
              <w:t>Metric</w:t>
            </w:r>
          </w:p>
        </w:tc>
        <w:tc>
          <w:tcPr>
            <w:tcW w:type="dxa" w:w="2648"/>
            <w:shd w:val="clear" w:color="auto" w:fill="DDDDDD"/>
          </w:tcPr>
          <w:p>
            <w:r>
              <w:rPr>
                <w:b/>
              </w:rPr>
            </w:r>
            <w:r>
              <w:rPr>
                <w:rFonts w:ascii="Calibri" w:hAnsi="Calibri" w:eastAsia="Times New Roman" w:cs="Times New Roman"/>
                <w:b/>
                <w:sz w:val="19"/>
              </w:rPr>
              <w:t>π₁</w:t>
            </w:r>
          </w:p>
        </w:tc>
        <w:tc>
          <w:tcPr>
            <w:tcW w:type="dxa" w:w="2648"/>
            <w:shd w:val="clear" w:color="auto" w:fill="DDDDDD"/>
          </w:tcPr>
          <w:p>
            <w:r>
              <w:rPr>
                <w:b/>
              </w:rPr>
            </w:r>
            <w:r>
              <w:rPr>
                <w:rFonts w:ascii="Calibri" w:hAnsi="Calibri" w:eastAsia="Times New Roman" w:cs="Times New Roman"/>
                <w:b/>
                <w:sz w:val="19"/>
              </w:rPr>
              <w:t>π₂</w:t>
            </w:r>
          </w:p>
        </w:tc>
        <w:tc>
          <w:tcPr>
            <w:tcW w:type="dxa" w:w="2648"/>
            <w:shd w:val="clear" w:color="auto" w:fill="DDDDDD"/>
          </w:tcPr>
          <w:p>
            <w:r>
              <w:rPr>
                <w:b/>
              </w:rPr>
            </w:r>
            <w:r>
              <w:rPr>
                <w:rFonts w:ascii="Calibri" w:hAnsi="Calibri" w:eastAsia="Times New Roman" w:cs="Times New Roman"/>
                <w:b/>
                <w:sz w:val="19"/>
              </w:rPr>
              <w:t>π₃</w:t>
            </w:r>
          </w:p>
        </w:tc>
        <w:tc>
          <w:tcPr>
            <w:tcW w:type="dxa" w:w="2648"/>
            <w:shd w:val="clear" w:color="auto" w:fill="DDDDDD"/>
          </w:tcPr>
          <w:p>
            <w:r>
              <w:rPr>
                <w:b/>
              </w:rPr>
            </w:r>
            <w:r>
              <w:rPr>
                <w:rFonts w:ascii="Calibri" w:hAnsi="Calibri" w:eastAsia="Times New Roman" w:cs="Times New Roman"/>
                <w:b/>
                <w:sz w:val="19"/>
              </w:rPr>
              <w:t>π₄</w:t>
            </w:r>
          </w:p>
        </w:tc>
      </w:tr>
      <w:tr>
        <w:tc>
          <w:tcPr>
            <w:tcW w:type="dxa" w:w="2648"/>
          </w:tcPr>
          <w:p>
            <w:r/>
            <w:r>
              <w:rPr>
                <w:rFonts w:ascii="Calibri" w:hAnsi="Calibri" w:eastAsia="Times New Roman" w:cs="Times New Roman"/>
                <w:sz w:val="19"/>
              </w:rPr>
              <w:t>Nominal weight w</w:t>
            </w:r>
          </w:p>
        </w:tc>
        <w:tc>
          <w:tcPr>
            <w:tcW w:type="dxa" w:w="2648"/>
          </w:tcPr>
          <w:p>
            <w:r/>
            <w:r>
              <w:rPr>
                <w:rFonts w:ascii="Calibri" w:hAnsi="Calibri" w:eastAsia="Times New Roman" w:cs="Times New Roman"/>
                <w:sz w:val="19"/>
              </w:rPr>
              <w:t>0.400</w:t>
            </w:r>
          </w:p>
        </w:tc>
        <w:tc>
          <w:tcPr>
            <w:tcW w:type="dxa" w:w="2648"/>
          </w:tcPr>
          <w:p>
            <w:r/>
            <w:r>
              <w:rPr>
                <w:rFonts w:ascii="Calibri" w:hAnsi="Calibri" w:eastAsia="Times New Roman" w:cs="Times New Roman"/>
                <w:sz w:val="19"/>
              </w:rPr>
              <w:t>0.300</w:t>
            </w:r>
          </w:p>
        </w:tc>
        <w:tc>
          <w:tcPr>
            <w:tcW w:type="dxa" w:w="2648"/>
          </w:tcPr>
          <w:p>
            <w:r/>
            <w:r>
              <w:rPr>
                <w:rFonts w:ascii="Calibri" w:hAnsi="Calibri" w:eastAsia="Times New Roman" w:cs="Times New Roman"/>
                <w:sz w:val="19"/>
              </w:rPr>
              <w:t>0.200</w:t>
            </w:r>
          </w:p>
        </w:tc>
        <w:tc>
          <w:tcPr>
            <w:tcW w:type="dxa" w:w="2648"/>
          </w:tcPr>
          <w:p>
            <w:r/>
            <w:r>
              <w:rPr>
                <w:rFonts w:ascii="Calibri" w:hAnsi="Calibri" w:eastAsia="Times New Roman" w:cs="Times New Roman"/>
                <w:sz w:val="19"/>
              </w:rPr>
              <w:t>0.100</w:t>
            </w:r>
          </w:p>
        </w:tc>
      </w:tr>
      <w:tr>
        <w:tc>
          <w:tcPr>
            <w:tcW w:type="dxa" w:w="2648"/>
          </w:tcPr>
          <w:p>
            <w:r/>
            <w:r>
              <w:rPr>
                <w:rFonts w:ascii="Calibri" w:hAnsi="Calibri" w:eastAsia="Times New Roman" w:cs="Times New Roman"/>
                <w:b/>
                <w:sz w:val="19"/>
              </w:rPr>
              <w:t>Linear [0,1]</w:t>
            </w:r>
            <w:r>
              <w:rPr>
                <w:rFonts w:ascii="Calibri" w:hAnsi="Calibri" w:eastAsia="Times New Roman" w:cs="Times New Roman"/>
                <w:sz w:val="19"/>
              </w:rPr>
              <w:t xml:space="preserve"> (mean ± SD)</w:t>
            </w:r>
          </w:p>
        </w:tc>
        <w:tc>
          <w:tcPr>
            <w:tcW w:type="dxa" w:w="2648"/>
          </w:tcPr>
          <w:p>
            <w:r/>
            <w:r>
              <w:rPr>
                <w:rFonts w:ascii="Calibri" w:hAnsi="Calibri" w:eastAsia="Times New Roman" w:cs="Times New Roman"/>
                <w:b/>
                <w:sz w:val="19"/>
              </w:rPr>
              <w:t>0.532 ± 0.026</w:t>
            </w:r>
          </w:p>
        </w:tc>
        <w:tc>
          <w:tcPr>
            <w:tcW w:type="dxa" w:w="2648"/>
          </w:tcPr>
          <w:p>
            <w:r/>
            <w:r>
              <w:rPr>
                <w:rFonts w:ascii="Calibri" w:hAnsi="Calibri" w:eastAsia="Times New Roman" w:cs="Times New Roman"/>
                <w:sz w:val="19"/>
              </w:rPr>
              <w:t>0.171 ± 0.032</w:t>
            </w:r>
          </w:p>
        </w:tc>
        <w:tc>
          <w:tcPr>
            <w:tcW w:type="dxa" w:w="2648"/>
          </w:tcPr>
          <w:p>
            <w:r/>
            <w:r>
              <w:rPr>
                <w:rFonts w:ascii="Calibri" w:hAnsi="Calibri" w:eastAsia="Times New Roman" w:cs="Times New Roman"/>
                <w:sz w:val="19"/>
              </w:rPr>
              <w:t>0.179 ± 0.009</w:t>
            </w:r>
          </w:p>
        </w:tc>
        <w:tc>
          <w:tcPr>
            <w:tcW w:type="dxa" w:w="2648"/>
          </w:tcPr>
          <w:p>
            <w:r/>
            <w:r>
              <w:rPr>
                <w:rFonts w:ascii="Calibri" w:hAnsi="Calibri" w:eastAsia="Times New Roman" w:cs="Times New Roman"/>
                <w:sz w:val="19"/>
              </w:rPr>
              <w:t>0.119 ± 0.006</w:t>
            </w:r>
          </w:p>
        </w:tc>
      </w:tr>
      <w:tr>
        <w:tc>
          <w:tcPr>
            <w:tcW w:type="dxa" w:w="2648"/>
          </w:tcPr>
          <w:p>
            <w:r/>
            <w:r>
              <w:rPr>
                <w:rFonts w:ascii="Calibri" w:hAnsi="Calibri" w:eastAsia="Times New Roman" w:cs="Times New Roman"/>
                <w:b/>
                <w:sz w:val="19"/>
              </w:rPr>
              <w:t>Quantile logit</w:t>
            </w:r>
          </w:p>
        </w:tc>
        <w:tc>
          <w:tcPr>
            <w:tcW w:type="dxa" w:w="2648"/>
          </w:tcPr>
          <w:p>
            <w:r/>
            <w:r>
              <w:rPr>
                <w:rFonts w:ascii="Calibri" w:hAnsi="Calibri" w:eastAsia="Times New Roman" w:cs="Times New Roman"/>
                <w:sz w:val="19"/>
              </w:rPr>
              <w:t>0.403 ± 0.006</w:t>
            </w:r>
          </w:p>
        </w:tc>
        <w:tc>
          <w:tcPr>
            <w:tcW w:type="dxa" w:w="2648"/>
          </w:tcPr>
          <w:p>
            <w:r/>
            <w:r>
              <w:rPr>
                <w:rFonts w:ascii="Calibri" w:hAnsi="Calibri" w:eastAsia="Times New Roman" w:cs="Times New Roman"/>
                <w:sz w:val="19"/>
              </w:rPr>
              <w:t>0.299 ± 0.006</w:t>
            </w:r>
          </w:p>
        </w:tc>
        <w:tc>
          <w:tcPr>
            <w:tcW w:type="dxa" w:w="2648"/>
          </w:tcPr>
          <w:p>
            <w:r/>
            <w:r>
              <w:rPr>
                <w:rFonts w:ascii="Calibri" w:hAnsi="Calibri" w:eastAsia="Times New Roman" w:cs="Times New Roman"/>
                <w:sz w:val="19"/>
              </w:rPr>
              <w:t>0.201 ± 0.003</w:t>
            </w:r>
          </w:p>
        </w:tc>
        <w:tc>
          <w:tcPr>
            <w:tcW w:type="dxa" w:w="2648"/>
          </w:tcPr>
          <w:p>
            <w:r/>
            <w:r>
              <w:rPr>
                <w:rFonts w:ascii="Calibri" w:hAnsi="Calibri" w:eastAsia="Times New Roman" w:cs="Times New Roman"/>
                <w:sz w:val="19"/>
              </w:rPr>
              <w:t>0.097 ± 0.003</w:t>
            </w:r>
          </w:p>
        </w:tc>
      </w:tr>
    </w:tbl>
    <w:p/>
    <w:p>
      <w:pPr>
        <w:spacing w:after="120"/>
      </w:pPr>
      <w:r>
        <w:rPr>
          <w:rFonts w:ascii="Calibri" w:hAnsi="Calibri" w:eastAsia="Times New Roman" w:cs="Times New Roman"/>
          <w:b/>
          <w:sz w:val="21"/>
        </w:rPr>
        <w:t>Testable implication P1 holds.</w:t>
      </w:r>
      <w:r>
        <w:rPr>
          <w:rFonts w:ascii="Calibri" w:hAnsi="Calibri" w:eastAsia="Times New Roman" w:cs="Times New Roman"/>
          <w:sz w:val="21"/>
        </w:rPr>
        <w:t xml:space="preserve"> Under linear [0,1] fusion, the weight set "0.40 / 0.30 / 0.20 / 0.10" is </w:t>
      </w:r>
      <w:r>
        <w:rPr>
          <w:rFonts w:ascii="Calibri" w:hAnsi="Calibri" w:eastAsia="Times New Roman" w:cs="Times New Roman"/>
          <w:b/>
          <w:sz w:val="21"/>
        </w:rPr>
        <w:t>misleading</w:t>
      </w:r>
      <w:r>
        <w:rPr>
          <w:rFonts w:ascii="Calibri" w:hAnsi="Calibri" w:eastAsia="Times New Roman" w:cs="Times New Roman"/>
          <w:sz w:val="21"/>
        </w:rPr>
        <w:t>: because the mastery source has the largest relative dispersion, its effective weight is systematically inflated to 0.532, while the memory-difficulty source nominally at 0.30 actually contributes only 0.171. Under the quantile-logit metric the effective weight returns near the nominal value (max deviation 0.003), showing that this system does have a unique commensurable scale in this setting, and min-max normalisation simply does not land on it.</w:t>
      </w:r>
    </w:p>
    <w:p>
      <w:pPr>
        <w:pStyle w:val="Heading2"/>
        <w:spacing w:before="120" w:after="80"/>
      </w:pPr>
      <w:r>
        <w:rPr>
          <w:rFonts w:ascii="Calibri" w:hAnsi="Calibri" w:eastAsia="Times New Roman" w:cs="Times New Roman"/>
          <w:sz w:val="27"/>
        </w:rPr>
        <w:t>4.3 Metric A: affine-invariant, nonlinear-monotone drift</w:t>
      </w:r>
    </w:p>
    <w:p>
      <w:pPr>
        <w:spacing w:after="120"/>
      </w:pPr>
      <w:r>
        <w:rPr>
          <w:rFonts w:ascii="Calibri" w:hAnsi="Calibri" w:eastAsia="Times New Roman" w:cs="Times New Roman"/>
          <w:b/>
          <w:sz w:val="21"/>
        </w:rPr>
        <w:t>Table 6. Metric A: affine-invariant, nonlinear-monotone drift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Times New Roman" w:cs="Times New Roman"/>
                <w:b/>
                <w:sz w:val="19"/>
              </w:rPr>
              <w:t>Transform family</w:t>
            </w:r>
          </w:p>
        </w:tc>
        <w:tc>
          <w:tcPr>
            <w:tcW w:type="dxa" w:w="2207"/>
            <w:shd w:val="clear" w:color="auto" w:fill="DDDDDD"/>
          </w:tcPr>
          <w:p>
            <w:r>
              <w:rPr>
                <w:b/>
              </w:rPr>
            </w:r>
            <w:r>
              <w:rPr>
                <w:rFonts w:ascii="Calibri" w:hAnsi="Calibri" w:eastAsia="Times New Roman" w:cs="Times New Roman"/>
                <w:b/>
                <w:sz w:val="19"/>
              </w:rPr>
              <w:t>L1 mean</w:t>
            </w:r>
          </w:p>
        </w:tc>
        <w:tc>
          <w:tcPr>
            <w:tcW w:type="dxa" w:w="2207"/>
            <w:shd w:val="clear" w:color="auto" w:fill="DDDDDD"/>
          </w:tcPr>
          <w:p>
            <w:r>
              <w:rPr>
                <w:b/>
              </w:rPr>
            </w:r>
            <w:r>
              <w:rPr>
                <w:rFonts w:ascii="Calibri" w:hAnsi="Calibri" w:eastAsia="Times New Roman" w:cs="Times New Roman"/>
                <w:b/>
                <w:sz w:val="19"/>
              </w:rPr>
              <w:t>L1 SD</w:t>
            </w:r>
          </w:p>
        </w:tc>
        <w:tc>
          <w:tcPr>
            <w:tcW w:type="dxa" w:w="2207"/>
            <w:shd w:val="clear" w:color="auto" w:fill="DDDDDD"/>
          </w:tcPr>
          <w:p>
            <w:r>
              <w:rPr>
                <w:b/>
              </w:rPr>
            </w:r>
            <w:r>
              <w:rPr>
                <w:rFonts w:ascii="Calibri" w:hAnsi="Calibri" w:eastAsia="Times New Roman" w:cs="Times New Roman"/>
                <w:b/>
                <w:sz w:val="19"/>
              </w:rPr>
              <w:t>mean rank reversal</w:t>
            </w:r>
          </w:p>
        </w:tc>
        <w:tc>
          <w:tcPr>
            <w:tcW w:type="dxa" w:w="2207"/>
            <w:shd w:val="clear" w:color="auto" w:fill="DDDDDD"/>
          </w:tcPr>
          <w:p>
            <w:r>
              <w:rPr>
                <w:b/>
              </w:rPr>
            </w:r>
            <w:r>
              <w:rPr>
                <w:rFonts w:ascii="Calibri" w:hAnsi="Calibri" w:eastAsia="Times New Roman" w:cs="Times New Roman"/>
                <w:b/>
                <w:sz w:val="19"/>
              </w:rPr>
              <w:t>proportion with reversal</w:t>
            </w:r>
          </w:p>
        </w:tc>
        <w:tc>
          <w:tcPr>
            <w:tcW w:type="dxa" w:w="2207"/>
            <w:shd w:val="clear" w:color="auto" w:fill="DDDDDD"/>
          </w:tcPr>
          <w:p>
            <w:r>
              <w:rPr>
                <w:b/>
              </w:rPr>
            </w:r>
            <w:r>
              <w:rPr>
                <w:rFonts w:ascii="Calibri" w:hAnsi="Calibri" w:eastAsia="Times New Roman" w:cs="Times New Roman"/>
                <w:b/>
                <w:sz w:val="19"/>
              </w:rPr>
              <w:t>Spearman vs. baseline weight</w:t>
            </w:r>
          </w:p>
        </w:tc>
      </w:tr>
      <w:tr>
        <w:tc>
          <w:tcPr>
            <w:tcW w:type="dxa" w:w="2207"/>
          </w:tcPr>
          <w:p>
            <w:r/>
            <w:r>
              <w:rPr>
                <w:rFonts w:ascii="Calibri" w:hAnsi="Calibri" w:eastAsia="Times New Roman" w:cs="Times New Roman"/>
                <w:sz w:val="19"/>
              </w:rPr>
              <w:t>Affine (9)</w:t>
            </w:r>
          </w:p>
        </w:tc>
        <w:tc>
          <w:tcPr>
            <w:tcW w:type="dxa" w:w="2207"/>
          </w:tcPr>
          <w:p>
            <w:r/>
            <w:r>
              <w:rPr>
                <w:rFonts w:ascii="Calibri" w:hAnsi="Calibri" w:eastAsia="Times New Roman" w:cs="Times New Roman"/>
                <w:b/>
                <w:sz w:val="19"/>
              </w:rPr>
              <w:t>0.000000</w:t>
            </w:r>
          </w:p>
        </w:tc>
        <w:tc>
          <w:tcPr>
            <w:tcW w:type="dxa" w:w="2207"/>
          </w:tcPr>
          <w:p>
            <w:r/>
            <w:r>
              <w:rPr>
                <w:rFonts w:ascii="Calibri" w:hAnsi="Calibri" w:eastAsia="Times New Roman" w:cs="Times New Roman"/>
                <w:sz w:val="19"/>
              </w:rPr>
              <w:t>0.000000</w:t>
            </w:r>
          </w:p>
        </w:tc>
        <w:tc>
          <w:tcPr>
            <w:tcW w:type="dxa" w:w="2207"/>
          </w:tcPr>
          <w:p>
            <w:r/>
            <w:r>
              <w:rPr>
                <w:rFonts w:ascii="Calibri" w:hAnsi="Calibri" w:eastAsia="Times New Roman" w:cs="Times New Roman"/>
                <w:sz w:val="19"/>
              </w:rPr>
              <w:t>0.000</w:t>
            </w:r>
          </w:p>
        </w:tc>
        <w:tc>
          <w:tcPr>
            <w:tcW w:type="dxa" w:w="2207"/>
          </w:tcPr>
          <w:p>
            <w:r/>
            <w:r>
              <w:rPr>
                <w:rFonts w:ascii="Calibri" w:hAnsi="Calibri" w:eastAsia="Times New Roman" w:cs="Times New Roman"/>
                <w:sz w:val="19"/>
              </w:rPr>
              <w:t>0.000</w:t>
            </w:r>
          </w:p>
        </w:tc>
        <w:tc>
          <w:tcPr>
            <w:tcW w:type="dxa" w:w="2207"/>
          </w:tcPr>
          <w:p>
            <w:r/>
            <w:r>
              <w:rPr>
                <w:rFonts w:ascii="Calibri" w:hAnsi="Calibri" w:eastAsia="Times New Roman" w:cs="Times New Roman"/>
                <w:sz w:val="19"/>
              </w:rPr>
              <w:t>1.0000</w:t>
            </w:r>
          </w:p>
        </w:tc>
      </w:tr>
      <w:tr>
        <w:tc>
          <w:tcPr>
            <w:tcW w:type="dxa" w:w="2207"/>
          </w:tcPr>
          <w:p>
            <w:r/>
            <w:r>
              <w:rPr>
                <w:rFonts w:ascii="Calibri" w:hAnsi="Calibri" w:eastAsia="Times New Roman" w:cs="Times New Roman"/>
                <w:sz w:val="19"/>
              </w:rPr>
              <w:t>Nonlinear monotone (7)</w:t>
            </w:r>
          </w:p>
        </w:tc>
        <w:tc>
          <w:tcPr>
            <w:tcW w:type="dxa" w:w="2207"/>
          </w:tcPr>
          <w:p>
            <w:r/>
            <w:r>
              <w:rPr>
                <w:rFonts w:ascii="Calibri" w:hAnsi="Calibri" w:eastAsia="Times New Roman" w:cs="Times New Roman"/>
                <w:b/>
                <w:sz w:val="19"/>
              </w:rPr>
              <w:t>0.127620</w:t>
            </w:r>
          </w:p>
        </w:tc>
        <w:tc>
          <w:tcPr>
            <w:tcW w:type="dxa" w:w="2207"/>
          </w:tcPr>
          <w:p>
            <w:r/>
            <w:r>
              <w:rPr>
                <w:rFonts w:ascii="Calibri" w:hAnsi="Calibri" w:eastAsia="Times New Roman" w:cs="Times New Roman"/>
                <w:sz w:val="19"/>
              </w:rPr>
              <w:t>0.019553</w:t>
            </w:r>
          </w:p>
        </w:tc>
        <w:tc>
          <w:tcPr>
            <w:tcW w:type="dxa" w:w="2207"/>
          </w:tcPr>
          <w:p>
            <w:r/>
            <w:r>
              <w:rPr>
                <w:rFonts w:ascii="Calibri" w:hAnsi="Calibri" w:eastAsia="Times New Roman" w:cs="Times New Roman"/>
                <w:sz w:val="19"/>
              </w:rPr>
              <w:t>0.513</w:t>
            </w:r>
          </w:p>
        </w:tc>
        <w:tc>
          <w:tcPr>
            <w:tcW w:type="dxa" w:w="2207"/>
          </w:tcPr>
          <w:p>
            <w:r/>
            <w:r>
              <w:rPr>
                <w:rFonts w:ascii="Calibri" w:hAnsi="Calibri" w:eastAsia="Times New Roman" w:cs="Times New Roman"/>
                <w:b/>
                <w:sz w:val="19"/>
              </w:rPr>
              <w:t>0.364</w:t>
            </w:r>
          </w:p>
        </w:tc>
        <w:tc>
          <w:tcPr>
            <w:tcW w:type="dxa" w:w="2207"/>
          </w:tcPr>
          <w:p>
            <w:r/>
            <w:r>
              <w:rPr>
                <w:rFonts w:ascii="Calibri" w:hAnsi="Calibri" w:eastAsia="Times New Roman" w:cs="Times New Roman"/>
                <w:sz w:val="19"/>
              </w:rPr>
              <w:t>0.8646</w:t>
            </w:r>
          </w:p>
        </w:tc>
      </w:tr>
    </w:tbl>
    <w:p/>
    <w:p>
      <w:pPr>
        <w:spacing w:after="120"/>
      </w:pPr>
      <w:r>
        <w:rPr>
          <w:rFonts w:ascii="Calibri" w:hAnsi="Calibri" w:eastAsia="Times New Roman" w:cs="Times New Roman"/>
          <w:b/>
          <w:sz w:val="21"/>
        </w:rPr>
        <w:t>Testable implication P2 holds, and it holds in two halves.</w:t>
      </w:r>
      <w:r>
        <w:rPr>
          <w:rFonts w:ascii="Calibri" w:hAnsi="Calibri" w:eastAsia="Times New Roman" w:cs="Times New Roman"/>
          <w:sz w:val="21"/>
        </w:rPr>
        <w:t xml:space="preserve"> Under affine transforms drift is exactly 0—this is the analytic property of min-max normalisation and the </w:t>
      </w:r>
      <w:r>
        <w:rPr>
          <w:rFonts w:ascii="Calibri" w:hAnsi="Calibri" w:eastAsia="Times New Roman" w:cs="Times New Roman"/>
          <w:b/>
          <w:sz w:val="21"/>
        </w:rPr>
        <w:t>only</w:t>
      </w:r>
      <w:r>
        <w:rPr>
          <w:rFonts w:ascii="Calibri" w:hAnsi="Calibri" w:eastAsia="Times New Roman" w:cs="Times New Roman"/>
          <w:sz w:val="21"/>
        </w:rPr>
        <w:t xml:space="preserve"> invariance of the linear metric; under nonlinear monotone transforms L1 mean is 0.1276, max single-cell 0.674, and 36.4% of (source, transform) cells show weight-rank reversal. This split has direct engineering meaning: in real systems the mastery, memory difficulty, competitive rating, and success rate come precisely from probability, exponential, wide-linear, and ratio scales, and the transforms among them are </w:t>
      </w:r>
      <w:r>
        <w:rPr>
          <w:rFonts w:ascii="Calibri" w:hAnsi="Calibri" w:eastAsia="Times New Roman" w:cs="Times New Roman"/>
          <w:b/>
          <w:sz w:val="21"/>
        </w:rPr>
        <w:t>never affine</w:t>
      </w:r>
      <w:r>
        <w:rPr>
          <w:rFonts w:ascii="Calibri" w:hAnsi="Calibri" w:eastAsia="Times New Roman" w:cs="Times New Roman"/>
          <w:sz w:val="21"/>
        </w:rPr>
        <w:t>, so the stability of linear fusion in practice falls exactly in the refuted half.</w:t>
      </w:r>
    </w:p>
    <w:p>
      <w:pPr>
        <w:spacing w:after="120"/>
      </w:pPr>
      <w:r>
        <w:rPr>
          <w:rFonts w:ascii="Calibri" w:hAnsi="Calibri" w:eastAsia="Times New Roman" w:cs="Times New Roman"/>
          <w:sz w:val="21"/>
        </w:rPr>
        <w:t>The most severe transform per source is as follows (L1 mean / 95% interval / mean reversal count):</w:t>
      </w:r>
    </w:p>
    <w:p>
      <w:pPr>
        <w:spacing w:after="120"/>
      </w:pPr>
      <w:r>
        <w:rPr>
          <w:rFonts w:ascii="Calibri" w:hAnsi="Calibri" w:eastAsia="Times New Roman" w:cs="Times New Roman"/>
          <w:b/>
          <w:sz w:val="21"/>
        </w:rPr>
        <w:t>Table 7. Most severe transform per source (L1 mean / 95% interval / mean reversal)</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Times New Roman" w:cs="Times New Roman"/>
                <w:b/>
                <w:sz w:val="19"/>
              </w:rPr>
              <w:t>Source</w:t>
            </w:r>
          </w:p>
        </w:tc>
        <w:tc>
          <w:tcPr>
            <w:tcW w:type="dxa" w:w="2648"/>
            <w:shd w:val="clear" w:color="auto" w:fill="DDDDDD"/>
          </w:tcPr>
          <w:p>
            <w:r>
              <w:rPr>
                <w:b/>
              </w:rPr>
            </w:r>
            <w:r>
              <w:rPr>
                <w:rFonts w:ascii="Calibri" w:hAnsi="Calibri" w:eastAsia="Times New Roman" w:cs="Times New Roman"/>
                <w:b/>
                <w:sz w:val="19"/>
              </w:rPr>
              <w:t>Most severe transform</w:t>
            </w:r>
          </w:p>
        </w:tc>
        <w:tc>
          <w:tcPr>
            <w:tcW w:type="dxa" w:w="2648"/>
            <w:shd w:val="clear" w:color="auto" w:fill="DDDDDD"/>
          </w:tcPr>
          <w:p>
            <w:r>
              <w:rPr>
                <w:b/>
              </w:rPr>
            </w:r>
            <w:r>
              <w:rPr>
                <w:rFonts w:ascii="Calibri" w:hAnsi="Calibri" w:eastAsia="Times New Roman" w:cs="Times New Roman"/>
                <w:b/>
                <w:sz w:val="19"/>
              </w:rPr>
              <w:t>L1 mean</w:t>
            </w:r>
          </w:p>
        </w:tc>
        <w:tc>
          <w:tcPr>
            <w:tcW w:type="dxa" w:w="2648"/>
            <w:shd w:val="clear" w:color="auto" w:fill="DDDDDD"/>
          </w:tcPr>
          <w:p>
            <w:r>
              <w:rPr>
                <w:b/>
              </w:rPr>
            </w:r>
            <w:r>
              <w:rPr>
                <w:rFonts w:ascii="Calibri" w:hAnsi="Calibri" w:eastAsia="Times New Roman" w:cs="Times New Roman"/>
                <w:b/>
                <w:sz w:val="19"/>
              </w:rPr>
              <w:t>95% interval</w:t>
            </w:r>
          </w:p>
        </w:tc>
        <w:tc>
          <w:tcPr>
            <w:tcW w:type="dxa" w:w="2648"/>
            <w:shd w:val="clear" w:color="auto" w:fill="DDDDDD"/>
          </w:tcPr>
          <w:p>
            <w:r>
              <w:rPr>
                <w:b/>
              </w:rPr>
            </w:r>
            <w:r>
              <w:rPr>
                <w:rFonts w:ascii="Calibri" w:hAnsi="Calibri" w:eastAsia="Times New Roman" w:cs="Times New Roman"/>
                <w:b/>
                <w:sz w:val="19"/>
              </w:rPr>
              <w:t>mean reversal</w:t>
            </w:r>
          </w:p>
        </w:tc>
      </w:tr>
      <w:tr>
        <w:tc>
          <w:tcPr>
            <w:tcW w:type="dxa" w:w="2648"/>
          </w:tcPr>
          <w:p>
            <w:r/>
            <w:r>
              <w:rPr>
                <w:rFonts w:ascii="Calibri" w:hAnsi="Calibri" w:eastAsia="Times New Roman" w:cs="Times New Roman"/>
                <w:sz w:val="19"/>
              </w:rPr>
              <w:t>X₁ mastery</w:t>
            </w:r>
          </w:p>
        </w:tc>
        <w:tc>
          <w:tcPr>
            <w:tcW w:type="dxa" w:w="2648"/>
          </w:tcPr>
          <w:p>
            <w:r/>
            <w:r>
              <w:rPr>
                <w:rFonts w:ascii="Consolas" w:hAnsi="Consolas" w:eastAsia="Times New Roman" w:cs="Times New Roman"/>
                <w:sz w:val="19"/>
              </w:rPr>
              <w:t>logit_minmax</w:t>
            </w:r>
          </w:p>
        </w:tc>
        <w:tc>
          <w:tcPr>
            <w:tcW w:type="dxa" w:w="2648"/>
          </w:tcPr>
          <w:p>
            <w:r/>
            <w:r>
              <w:rPr>
                <w:rFonts w:ascii="Calibri" w:hAnsi="Calibri" w:eastAsia="Times New Roman" w:cs="Times New Roman"/>
                <w:sz w:val="19"/>
              </w:rPr>
              <w:t>0.674</w:t>
            </w:r>
          </w:p>
        </w:tc>
        <w:tc>
          <w:tcPr>
            <w:tcW w:type="dxa" w:w="2648"/>
          </w:tcPr>
          <w:p>
            <w:r/>
            <w:r>
              <w:rPr>
                <w:rFonts w:ascii="Calibri" w:hAnsi="Calibri" w:eastAsia="Times New Roman" w:cs="Times New Roman"/>
                <w:sz w:val="19"/>
              </w:rPr>
              <w:t>[0.641, 0.709]</w:t>
            </w:r>
          </w:p>
        </w:tc>
        <w:tc>
          <w:tcPr>
            <w:tcW w:type="dxa" w:w="2648"/>
          </w:tcPr>
          <w:p>
            <w:r/>
            <w:r>
              <w:rPr>
                <w:rFonts w:ascii="Calibri" w:hAnsi="Calibri" w:eastAsia="Times New Roman" w:cs="Times New Roman"/>
                <w:sz w:val="19"/>
              </w:rPr>
              <w:t>2.835</w:t>
            </w:r>
          </w:p>
        </w:tc>
      </w:tr>
      <w:tr>
        <w:tc>
          <w:tcPr>
            <w:tcW w:type="dxa" w:w="2648"/>
          </w:tcPr>
          <w:p>
            <w:r/>
            <w:r>
              <w:rPr>
                <w:rFonts w:ascii="Calibri" w:hAnsi="Calibri" w:eastAsia="Times New Roman" w:cs="Times New Roman"/>
                <w:sz w:val="19"/>
              </w:rPr>
              <w:t>X₁ mastery</w:t>
            </w:r>
          </w:p>
        </w:tc>
        <w:tc>
          <w:tcPr>
            <w:tcW w:type="dxa" w:w="2648"/>
          </w:tcPr>
          <w:p>
            <w:r/>
            <w:r>
              <w:rPr>
                <w:rFonts w:ascii="Consolas" w:hAnsi="Consolas" w:eastAsia="Times New Roman" w:cs="Times New Roman"/>
                <w:sz w:val="19"/>
              </w:rPr>
              <w:t>log</w:t>
            </w:r>
          </w:p>
        </w:tc>
        <w:tc>
          <w:tcPr>
            <w:tcW w:type="dxa" w:w="2648"/>
          </w:tcPr>
          <w:p>
            <w:r/>
            <w:r>
              <w:rPr>
                <w:rFonts w:ascii="Calibri" w:hAnsi="Calibri" w:eastAsia="Times New Roman" w:cs="Times New Roman"/>
                <w:sz w:val="19"/>
              </w:rPr>
              <w:t>0.193</w:t>
            </w:r>
          </w:p>
        </w:tc>
        <w:tc>
          <w:tcPr>
            <w:tcW w:type="dxa" w:w="2648"/>
          </w:tcPr>
          <w:p>
            <w:r/>
            <w:r>
              <w:rPr>
                <w:rFonts w:ascii="Calibri" w:hAnsi="Calibri" w:eastAsia="Times New Roman" w:cs="Times New Roman"/>
                <w:sz w:val="19"/>
              </w:rPr>
              <w:t>[0.116, 0.325]</w:t>
            </w:r>
          </w:p>
        </w:tc>
        <w:tc>
          <w:tcPr>
            <w:tcW w:type="dxa" w:w="2648"/>
          </w:tcPr>
          <w:p>
            <w:r/>
            <w:r>
              <w:rPr>
                <w:rFonts w:ascii="Calibri" w:hAnsi="Calibri" w:eastAsia="Times New Roman" w:cs="Times New Roman"/>
                <w:sz w:val="19"/>
              </w:rPr>
              <w:t>0.065</w:t>
            </w:r>
          </w:p>
        </w:tc>
      </w:tr>
      <w:tr>
        <w:tc>
          <w:tcPr>
            <w:tcW w:type="dxa" w:w="2648"/>
          </w:tcPr>
          <w:p>
            <w:r/>
            <w:r>
              <w:rPr>
                <w:rFonts w:ascii="Calibri" w:hAnsi="Calibri" w:eastAsia="Times New Roman" w:cs="Times New Roman"/>
                <w:sz w:val="19"/>
              </w:rPr>
              <w:t>X₂ memory difficulty</w:t>
            </w:r>
          </w:p>
        </w:tc>
        <w:tc>
          <w:tcPr>
            <w:tcW w:type="dxa" w:w="2648"/>
          </w:tcPr>
          <w:p>
            <w:r/>
            <w:r>
              <w:rPr>
                <w:rFonts w:ascii="Consolas" w:hAnsi="Consolas" w:eastAsia="Times New Roman" w:cs="Times New Roman"/>
                <w:sz w:val="19"/>
              </w:rPr>
              <w:t>probit_std</w:t>
            </w:r>
          </w:p>
        </w:tc>
        <w:tc>
          <w:tcPr>
            <w:tcW w:type="dxa" w:w="2648"/>
          </w:tcPr>
          <w:p>
            <w:r/>
            <w:r>
              <w:rPr>
                <w:rFonts w:ascii="Calibri" w:hAnsi="Calibri" w:eastAsia="Times New Roman" w:cs="Times New Roman"/>
                <w:sz w:val="19"/>
              </w:rPr>
              <w:t>0.368</w:t>
            </w:r>
          </w:p>
        </w:tc>
        <w:tc>
          <w:tcPr>
            <w:tcW w:type="dxa" w:w="2648"/>
          </w:tcPr>
          <w:p>
            <w:r/>
            <w:r>
              <w:rPr>
                <w:rFonts w:ascii="Calibri" w:hAnsi="Calibri" w:eastAsia="Times New Roman" w:cs="Times New Roman"/>
                <w:sz w:val="19"/>
              </w:rPr>
              <w:t>[0.274, 0.487]</w:t>
            </w:r>
          </w:p>
        </w:tc>
        <w:tc>
          <w:tcPr>
            <w:tcW w:type="dxa" w:w="2648"/>
          </w:tcPr>
          <w:p>
            <w:r/>
            <w:r>
              <w:rPr>
                <w:rFonts w:ascii="Calibri" w:hAnsi="Calibri" w:eastAsia="Times New Roman" w:cs="Times New Roman"/>
                <w:sz w:val="19"/>
              </w:rPr>
              <w:t>0.670</w:t>
            </w:r>
          </w:p>
        </w:tc>
      </w:tr>
      <w:tr>
        <w:tc>
          <w:tcPr>
            <w:tcW w:type="dxa" w:w="2648"/>
          </w:tcPr>
          <w:p>
            <w:r/>
            <w:r>
              <w:rPr>
                <w:rFonts w:ascii="Calibri" w:hAnsi="Calibri" w:eastAsia="Times New Roman" w:cs="Times New Roman"/>
                <w:sz w:val="19"/>
              </w:rPr>
              <w:t>X₂ memory difficulty</w:t>
            </w:r>
          </w:p>
        </w:tc>
        <w:tc>
          <w:tcPr>
            <w:tcW w:type="dxa" w:w="2648"/>
          </w:tcPr>
          <w:p>
            <w:r/>
            <w:r>
              <w:rPr>
                <w:rFonts w:ascii="Consolas" w:hAnsi="Consolas" w:eastAsia="Times New Roman" w:cs="Times New Roman"/>
                <w:sz w:val="19"/>
              </w:rPr>
              <w:t>exp_scaled</w:t>
            </w:r>
          </w:p>
        </w:tc>
        <w:tc>
          <w:tcPr>
            <w:tcW w:type="dxa" w:w="2648"/>
          </w:tcPr>
          <w:p>
            <w:r/>
            <w:r>
              <w:rPr>
                <w:rFonts w:ascii="Calibri" w:hAnsi="Calibri" w:eastAsia="Times New Roman" w:cs="Times New Roman"/>
                <w:sz w:val="19"/>
              </w:rPr>
              <w:t>0.286</w:t>
            </w:r>
          </w:p>
        </w:tc>
        <w:tc>
          <w:tcPr>
            <w:tcW w:type="dxa" w:w="2648"/>
          </w:tcPr>
          <w:p>
            <w:r/>
            <w:r>
              <w:rPr>
                <w:rFonts w:ascii="Calibri" w:hAnsi="Calibri" w:eastAsia="Times New Roman" w:cs="Times New Roman"/>
                <w:sz w:val="19"/>
              </w:rPr>
              <w:t>[0.163, 0.343]</w:t>
            </w:r>
          </w:p>
        </w:tc>
        <w:tc>
          <w:tcPr>
            <w:tcW w:type="dxa" w:w="2648"/>
          </w:tcPr>
          <w:p>
            <w:r/>
            <w:r>
              <w:rPr>
                <w:rFonts w:ascii="Calibri" w:hAnsi="Calibri" w:eastAsia="Times New Roman" w:cs="Times New Roman"/>
                <w:sz w:val="19"/>
              </w:rPr>
              <w:t>1.330</w:t>
            </w:r>
          </w:p>
        </w:tc>
      </w:tr>
      <w:tr>
        <w:tc>
          <w:tcPr>
            <w:tcW w:type="dxa" w:w="2648"/>
          </w:tcPr>
          <w:p>
            <w:r/>
            <w:r>
              <w:rPr>
                <w:rFonts w:ascii="Calibri" w:hAnsi="Calibri" w:eastAsia="Times New Roman" w:cs="Times New Roman"/>
                <w:sz w:val="19"/>
              </w:rPr>
              <w:t>X₃ competitive rating</w:t>
            </w:r>
          </w:p>
        </w:tc>
        <w:tc>
          <w:tcPr>
            <w:tcW w:type="dxa" w:w="2648"/>
          </w:tcPr>
          <w:p>
            <w:r/>
            <w:r>
              <w:rPr>
                <w:rFonts w:ascii="Consolas" w:hAnsi="Consolas" w:eastAsia="Times New Roman" w:cs="Times New Roman"/>
                <w:sz w:val="19"/>
              </w:rPr>
              <w:t>logit_minmax</w:t>
            </w:r>
          </w:p>
        </w:tc>
        <w:tc>
          <w:tcPr>
            <w:tcW w:type="dxa" w:w="2648"/>
          </w:tcPr>
          <w:p>
            <w:r/>
            <w:r>
              <w:rPr>
                <w:rFonts w:ascii="Calibri" w:hAnsi="Calibri" w:eastAsia="Times New Roman" w:cs="Times New Roman"/>
                <w:sz w:val="19"/>
              </w:rPr>
              <w:t>0.274</w:t>
            </w:r>
          </w:p>
        </w:tc>
        <w:tc>
          <w:tcPr>
            <w:tcW w:type="dxa" w:w="2648"/>
          </w:tcPr>
          <w:p>
            <w:r/>
            <w:r>
              <w:rPr>
                <w:rFonts w:ascii="Calibri" w:hAnsi="Calibri" w:eastAsia="Times New Roman" w:cs="Times New Roman"/>
                <w:sz w:val="19"/>
              </w:rPr>
              <w:t>[0.248, 0.298]</w:t>
            </w:r>
          </w:p>
        </w:tc>
        <w:tc>
          <w:tcPr>
            <w:tcW w:type="dxa" w:w="2648"/>
          </w:tcPr>
          <w:p>
            <w:r/>
            <w:r>
              <w:rPr>
                <w:rFonts w:ascii="Calibri" w:hAnsi="Calibri" w:eastAsia="Times New Roman" w:cs="Times New Roman"/>
                <w:sz w:val="19"/>
              </w:rPr>
              <w:t>1.590</w:t>
            </w:r>
          </w:p>
        </w:tc>
      </w:tr>
    </w:tbl>
    <w:p/>
    <w:p>
      <w:pPr>
        <w:spacing w:after="120"/>
      </w:pPr>
      <w:r>
        <w:rPr>
          <w:rFonts w:ascii="Calibri" w:hAnsi="Calibri" w:eastAsia="Times New Roman" w:cs="Times New Roman"/>
          <w:sz w:val="21"/>
        </w:rPr>
        <w:t xml:space="preserve">Notably the two most severe cells both occur on </w:t>
      </w:r>
      <w:r>
        <w:rPr>
          <w:rFonts w:ascii="Consolas" w:hAnsi="Consolas" w:eastAsia="Times New Roman" w:cs="Times New Roman"/>
          <w:sz w:val="21"/>
        </w:rPr>
        <w:t>logit_minmax</w:t>
      </w:r>
      <w:r>
        <w:rPr>
          <w:rFonts w:ascii="Calibri" w:hAnsi="Calibri" w:eastAsia="Times New Roman" w:cs="Times New Roman"/>
          <w:sz w:val="21"/>
        </w:rPr>
        <w:t>—i.e., "first min-max then take logit" on a source, the most natural-looking modification, causes the largest weight drift instead. This suggests a counterintuitive practical conclusion: before the metric is unified, any local "make some source more like logit" improvement may amplify rather than reduce the system's overall instability.</w:t>
      </w:r>
    </w:p>
    <w:p>
      <w:pPr>
        <w:pStyle w:val="Heading2"/>
        <w:spacing w:before="120" w:after="80"/>
      </w:pPr>
      <w:r>
        <w:rPr>
          <w:rFonts w:ascii="Calibri" w:hAnsi="Calibri" w:eastAsia="Times New Roman" w:cs="Times New Roman"/>
          <w:sz w:val="27"/>
        </w:rPr>
        <w:t>4.4 Metric B: zero drift under shared calibration, sampling noise only under independent calibration</w:t>
      </w:r>
    </w:p>
    <w:p>
      <w:pPr>
        <w:spacing w:after="120"/>
      </w:pPr>
      <w:r>
        <w:rPr>
          <w:rFonts w:ascii="Calibri" w:hAnsi="Calibri" w:eastAsia="Times New Roman" w:cs="Times New Roman"/>
          <w:b/>
          <w:sz w:val="21"/>
        </w:rPr>
        <w:t>Table 8. Metric B: zero drift under shared calibration, sampling noise only under independent calibration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Times New Roman" w:cs="Times New Roman"/>
                <w:b/>
                <w:sz w:val="19"/>
              </w:rPr>
              <w:t>Variant</w:t>
            </w:r>
          </w:p>
        </w:tc>
        <w:tc>
          <w:tcPr>
            <w:tcW w:type="dxa" w:w="2648"/>
            <w:shd w:val="clear" w:color="auto" w:fill="DDDDDD"/>
          </w:tcPr>
          <w:p>
            <w:r>
              <w:rPr>
                <w:b/>
              </w:rPr>
            </w:r>
            <w:r>
              <w:rPr>
                <w:rFonts w:ascii="Calibri" w:hAnsi="Calibri" w:eastAsia="Times New Roman" w:cs="Times New Roman"/>
                <w:b/>
                <w:sz w:val="19"/>
              </w:rPr>
              <w:t>Transform family</w:t>
            </w:r>
          </w:p>
        </w:tc>
        <w:tc>
          <w:tcPr>
            <w:tcW w:type="dxa" w:w="2648"/>
            <w:shd w:val="clear" w:color="auto" w:fill="DDDDDD"/>
          </w:tcPr>
          <w:p>
            <w:r>
              <w:rPr>
                <w:b/>
              </w:rPr>
            </w:r>
            <w:r>
              <w:rPr>
                <w:rFonts w:ascii="Calibri" w:hAnsi="Calibri" w:eastAsia="Times New Roman" w:cs="Times New Roman"/>
                <w:b/>
                <w:sz w:val="19"/>
              </w:rPr>
              <w:t>L1 mean</w:t>
            </w:r>
          </w:p>
        </w:tc>
        <w:tc>
          <w:tcPr>
            <w:tcW w:type="dxa" w:w="2648"/>
            <w:shd w:val="clear" w:color="auto" w:fill="DDDDDD"/>
          </w:tcPr>
          <w:p>
            <w:r>
              <w:rPr>
                <w:b/>
              </w:rPr>
            </w:r>
            <w:r>
              <w:rPr>
                <w:rFonts w:ascii="Calibri" w:hAnsi="Calibri" w:eastAsia="Times New Roman" w:cs="Times New Roman"/>
                <w:b/>
                <w:sz w:val="19"/>
              </w:rPr>
              <w:t>mean rank reversal</w:t>
            </w:r>
          </w:p>
        </w:tc>
        <w:tc>
          <w:tcPr>
            <w:tcW w:type="dxa" w:w="2648"/>
            <w:shd w:val="clear" w:color="auto" w:fill="DDDDDD"/>
          </w:tcPr>
          <w:p>
            <w:r>
              <w:rPr>
                <w:b/>
              </w:rPr>
            </w:r>
            <w:r>
              <w:rPr>
                <w:rFonts w:ascii="Calibri" w:hAnsi="Calibri" w:eastAsia="Times New Roman" w:cs="Times New Roman"/>
                <w:b/>
                <w:sz w:val="19"/>
              </w:rPr>
              <w:t>proportion with reversal</w:t>
            </w:r>
          </w:p>
        </w:tc>
      </w:tr>
      <w:tr>
        <w:tc>
          <w:tcPr>
            <w:tcW w:type="dxa" w:w="2648"/>
          </w:tcPr>
          <w:p>
            <w:r/>
            <w:r>
              <w:rPr>
                <w:rFonts w:ascii="Calibri" w:hAnsi="Calibri" w:eastAsia="Times New Roman" w:cs="Times New Roman"/>
                <w:sz w:val="19"/>
              </w:rPr>
              <w:t>Shared calibration · same transform</w:t>
            </w:r>
          </w:p>
        </w:tc>
        <w:tc>
          <w:tcPr>
            <w:tcW w:type="dxa" w:w="2648"/>
          </w:tcPr>
          <w:p>
            <w:r/>
            <w:r>
              <w:rPr>
                <w:rFonts w:ascii="Calibri" w:hAnsi="Calibri" w:eastAsia="Times New Roman" w:cs="Times New Roman"/>
                <w:sz w:val="19"/>
              </w:rPr>
              <w:t>all</w:t>
            </w:r>
          </w:p>
        </w:tc>
        <w:tc>
          <w:tcPr>
            <w:tcW w:type="dxa" w:w="2648"/>
          </w:tcPr>
          <w:p>
            <w:r/>
            <w:r>
              <w:rPr>
                <w:rFonts w:ascii="Calibri" w:hAnsi="Calibri" w:eastAsia="Times New Roman" w:cs="Times New Roman"/>
                <w:b/>
                <w:sz w:val="19"/>
              </w:rPr>
              <w:t>0.000000</w:t>
            </w:r>
          </w:p>
        </w:tc>
        <w:tc>
          <w:tcPr>
            <w:tcW w:type="dxa" w:w="2648"/>
          </w:tcPr>
          <w:p>
            <w:r/>
            <w:r>
              <w:rPr>
                <w:rFonts w:ascii="Calibri" w:hAnsi="Calibri" w:eastAsia="Times New Roman" w:cs="Times New Roman"/>
                <w:sz w:val="19"/>
              </w:rPr>
              <w:t>0.000</w:t>
            </w:r>
          </w:p>
        </w:tc>
        <w:tc>
          <w:tcPr>
            <w:tcW w:type="dxa" w:w="2648"/>
          </w:tcPr>
          <w:p>
            <w:r/>
            <w:r>
              <w:rPr>
                <w:rFonts w:ascii="Calibri" w:hAnsi="Calibri" w:eastAsia="Times New Roman" w:cs="Times New Roman"/>
                <w:sz w:val="19"/>
              </w:rPr>
              <w:t>0.000</w:t>
            </w:r>
          </w:p>
        </w:tc>
      </w:tr>
      <w:tr>
        <w:tc>
          <w:tcPr>
            <w:tcW w:type="dxa" w:w="2648"/>
          </w:tcPr>
          <w:p>
            <w:r/>
            <w:r>
              <w:rPr>
                <w:rFonts w:ascii="Calibri" w:hAnsi="Calibri" w:eastAsia="Times New Roman" w:cs="Times New Roman"/>
                <w:sz w:val="19"/>
              </w:rPr>
              <w:t>Independent calibration sample</w:t>
            </w:r>
          </w:p>
        </w:tc>
        <w:tc>
          <w:tcPr>
            <w:tcW w:type="dxa" w:w="2648"/>
          </w:tcPr>
          <w:p>
            <w:r/>
            <w:r>
              <w:rPr>
                <w:rFonts w:ascii="Calibri" w:hAnsi="Calibri" w:eastAsia="Times New Roman" w:cs="Times New Roman"/>
                <w:sz w:val="19"/>
              </w:rPr>
              <w:t>affine</w:t>
            </w:r>
          </w:p>
        </w:tc>
        <w:tc>
          <w:tcPr>
            <w:tcW w:type="dxa" w:w="2648"/>
          </w:tcPr>
          <w:p>
            <w:r/>
            <w:r>
              <w:rPr>
                <w:rFonts w:ascii="Calibri" w:hAnsi="Calibri" w:eastAsia="Times New Roman" w:cs="Times New Roman"/>
                <w:sz w:val="19"/>
              </w:rPr>
              <w:t>0.0160</w:t>
            </w:r>
          </w:p>
        </w:tc>
        <w:tc>
          <w:tcPr>
            <w:tcW w:type="dxa" w:w="2648"/>
          </w:tcPr>
          <w:p>
            <w:r/>
            <w:r>
              <w:rPr>
                <w:rFonts w:ascii="Calibri" w:hAnsi="Calibri" w:eastAsia="Times New Roman" w:cs="Times New Roman"/>
                <w:sz w:val="19"/>
              </w:rPr>
              <w:t>0.000</w:t>
            </w:r>
          </w:p>
        </w:tc>
        <w:tc>
          <w:tcPr>
            <w:tcW w:type="dxa" w:w="2648"/>
          </w:tcPr>
          <w:p>
            <w:r/>
            <w:r>
              <w:rPr>
                <w:rFonts w:ascii="Calibri" w:hAnsi="Calibri" w:eastAsia="Times New Roman" w:cs="Times New Roman"/>
                <w:sz w:val="19"/>
              </w:rPr>
              <w:t>0.000</w:t>
            </w:r>
          </w:p>
        </w:tc>
      </w:tr>
      <w:tr>
        <w:tc>
          <w:tcPr>
            <w:tcW w:type="dxa" w:w="2648"/>
          </w:tcPr>
          <w:p>
            <w:r/>
            <w:r>
              <w:rPr>
                <w:rFonts w:ascii="Calibri" w:hAnsi="Calibri" w:eastAsia="Times New Roman" w:cs="Times New Roman"/>
                <w:sz w:val="19"/>
              </w:rPr>
              <w:t>Independent calibration sample</w:t>
            </w:r>
          </w:p>
        </w:tc>
        <w:tc>
          <w:tcPr>
            <w:tcW w:type="dxa" w:w="2648"/>
          </w:tcPr>
          <w:p>
            <w:r/>
            <w:r>
              <w:rPr>
                <w:rFonts w:ascii="Calibri" w:hAnsi="Calibri" w:eastAsia="Times New Roman" w:cs="Times New Roman"/>
                <w:sz w:val="19"/>
              </w:rPr>
              <w:t>nonlinear</w:t>
            </w:r>
          </w:p>
        </w:tc>
        <w:tc>
          <w:tcPr>
            <w:tcW w:type="dxa" w:w="2648"/>
          </w:tcPr>
          <w:p>
            <w:r/>
            <w:r>
              <w:rPr>
                <w:rFonts w:ascii="Calibri" w:hAnsi="Calibri" w:eastAsia="Times New Roman" w:cs="Times New Roman"/>
                <w:sz w:val="19"/>
              </w:rPr>
              <w:t>0.0159</w:t>
            </w:r>
          </w:p>
        </w:tc>
        <w:tc>
          <w:tcPr>
            <w:tcW w:type="dxa" w:w="2648"/>
          </w:tcPr>
          <w:p>
            <w:r/>
            <w:r>
              <w:rPr>
                <w:rFonts w:ascii="Calibri" w:hAnsi="Calibri" w:eastAsia="Times New Roman" w:cs="Times New Roman"/>
                <w:sz w:val="19"/>
              </w:rPr>
              <w:t>0.000</w:t>
            </w:r>
          </w:p>
        </w:tc>
        <w:tc>
          <w:tcPr>
            <w:tcW w:type="dxa" w:w="2648"/>
          </w:tcPr>
          <w:p>
            <w:r/>
            <w:r>
              <w:rPr>
                <w:rFonts w:ascii="Calibri" w:hAnsi="Calibri" w:eastAsia="Times New Roman" w:cs="Times New Roman"/>
                <w:sz w:val="19"/>
              </w:rPr>
              <w:t>0.000</w:t>
            </w:r>
          </w:p>
        </w:tc>
      </w:tr>
    </w:tbl>
    <w:p/>
    <w:p>
      <w:pPr>
        <w:spacing w:after="120"/>
      </w:pPr>
      <w:r>
        <w:rPr>
          <w:rFonts w:ascii="Calibri" w:hAnsi="Calibri" w:eastAsia="Times New Roman" w:cs="Times New Roman"/>
          <w:b/>
          <w:sz w:val="21"/>
        </w:rPr>
        <w:t>Testable implication P3 holds.</w:t>
      </w:r>
      <w:r>
        <w:rPr>
          <w:rFonts w:ascii="Calibri" w:hAnsi="Calibri" w:eastAsia="Times New Roman" w:cs="Times New Roman"/>
          <w:sz w:val="21"/>
        </w:rPr>
        <w:t xml:space="preserve"> Under shared calibration drift is strictly 0 (numerically the largest |Δπ| in the whole table is 2.7 × 10⁻³, appearing only in one </w:t>
      </w:r>
      <w:r>
        <w:rPr>
          <w:rFonts w:ascii="Consolas" w:hAnsi="Consolas" w:eastAsia="Times New Roman" w:cs="Times New Roman"/>
          <w:sz w:val="21"/>
        </w:rPr>
        <w:t>logit_minmax</w:t>
      </w:r>
      <w:r>
        <w:rPr>
          <w:rFonts w:ascii="Calibri" w:hAnsi="Calibri" w:eastAsia="Times New Roman" w:cs="Times New Roman"/>
          <w:sz w:val="21"/>
        </w:rPr>
        <w:t xml:space="preserve"> cell, a numeric artifact from domain-boundary clipping creating at most two tied values, not a conceptual drift). Under independent calibration the 0.016-magnitude deviation is identical for affine (0.0160) and nonlinear (0.0159), proving it is unrelated to reparameterisation and is the linking sampling error of finite calibration samples. Zero rank reversal holds under both variants.</w:t>
      </w:r>
    </w:p>
    <w:p>
      <w:pPr>
        <w:pStyle w:val="Heading2"/>
        <w:spacing w:before="120" w:after="80"/>
      </w:pPr>
      <w:r>
        <w:rPr>
          <w:rFonts w:ascii="Calibri" w:hAnsi="Calibri" w:eastAsia="Times New Roman" w:cs="Times New Roman"/>
          <w:sz w:val="27"/>
        </w:rPr>
        <w:t>4.5 Three counterexamples: information unchanged, weight-rank reversed</w:t>
      </w:r>
    </w:p>
    <w:p>
      <w:pPr>
        <w:spacing w:after="120"/>
      </w:pPr>
      <w:r>
        <w:rPr>
          <w:rFonts w:ascii="Calibri" w:hAnsi="Calibri" w:eastAsia="Times New Roman" w:cs="Times New Roman"/>
          <w:b/>
          <w:sz w:val="21"/>
        </w:rPr>
        <w:t>Counterexample 1 (strongest):</w:t>
      </w:r>
      <w:r>
        <w:rPr>
          <w:rFonts w:ascii="Calibri" w:hAnsi="Calibri" w:eastAsia="Times New Roman" w:cs="Times New Roman"/>
          <w:sz w:val="21"/>
        </w:rPr>
        <w:t xml:space="preserve"> applying </w:t>
      </w:r>
      <w:r>
        <w:rPr>
          <w:rFonts w:ascii="Consolas" w:hAnsi="Consolas" w:eastAsia="Times New Roman" w:cs="Times New Roman"/>
          <w:sz w:val="21"/>
        </w:rPr>
        <w:t>logit_minmax</w:t>
      </w:r>
      <w:r>
        <w:rPr>
          <w:rFonts w:ascii="Calibri" w:hAnsi="Calibri" w:eastAsia="Times New Roman" w:cs="Times New Roman"/>
          <w:sz w:val="21"/>
        </w:rPr>
        <w:t xml:space="preserve"> (strictly monotone) to X₁ mastery, result of repeat 0:</w:t>
      </w:r>
    </w:p>
    <w:p>
      <w:pPr>
        <w:spacing w:after="120"/>
      </w:pPr>
      <w:r>
        <w:rPr>
          <w:rFonts w:ascii="Calibri" w:hAnsi="Calibri" w:eastAsia="Times New Roman" w:cs="Times New Roman"/>
          <w:b/>
          <w:sz w:val="21"/>
        </w:rPr>
        <w:t>Table 9. Counterexample 1 (strongest): X₁ mastery under logit_minmax</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Times New Roman" w:cs="Times New Roman"/>
                <w:b/>
                <w:sz w:val="19"/>
              </w:rPr>
              <w:t>Item</w:t>
            </w:r>
          </w:p>
        </w:tc>
        <w:tc>
          <w:tcPr>
            <w:tcW w:type="dxa" w:w="3310"/>
            <w:shd w:val="clear" w:color="auto" w:fill="DDDDDD"/>
          </w:tcPr>
          <w:p>
            <w:r>
              <w:rPr>
                <w:b/>
              </w:rPr>
            </w:r>
            <w:r>
              <w:rPr>
                <w:rFonts w:ascii="Calibri" w:hAnsi="Calibri" w:eastAsia="Times New Roman" w:cs="Times New Roman"/>
                <w:b/>
                <w:sz w:val="19"/>
              </w:rPr>
              <w:t>Value</w:t>
            </w:r>
          </w:p>
        </w:tc>
        <w:tc>
          <w:tcPr>
            <w:tcW w:type="dxa" w:w="3310"/>
          </w:tcPr>
          <w:p/>
        </w:tc>
        <w:tc>
          <w:tcPr>
            <w:tcW w:type="dxa" w:w="3310"/>
          </w:tcPr>
          <w:p/>
        </w:tc>
      </w:tr>
      <w:tr>
        <w:tc>
          <w:tcPr>
            <w:tcW w:type="dxa" w:w="3310"/>
          </w:tcPr>
          <w:p>
            <w:r/>
            <w:r>
              <w:rPr>
                <w:rFonts w:ascii="Calibri" w:hAnsi="Calibri" w:eastAsia="Times New Roman" w:cs="Times New Roman"/>
                <w:sz w:val="19"/>
              </w:rPr>
              <w:t>Baseline effective weight π⁽⁰⁾</w:t>
            </w:r>
          </w:p>
        </w:tc>
        <w:tc>
          <w:tcPr>
            <w:tcW w:type="dxa" w:w="3310"/>
          </w:tcPr>
          <w:p>
            <w:r/>
            <w:r>
              <w:rPr>
                <w:rFonts w:ascii="Calibri" w:hAnsi="Calibri" w:eastAsia="Times New Roman" w:cs="Times New Roman"/>
                <w:sz w:val="19"/>
              </w:rPr>
              <w:t>[0.5429, 0.1514, 0.1831, 0.1226], order [1, 3, 2, 4]</w:t>
            </w:r>
          </w:p>
        </w:tc>
        <w:tc>
          <w:tcPr>
            <w:tcW w:type="dxa" w:w="3310"/>
          </w:tcPr>
          <w:p/>
        </w:tc>
        <w:tc>
          <w:tcPr>
            <w:tcW w:type="dxa" w:w="3310"/>
          </w:tcPr>
          <w:p/>
        </w:tc>
      </w:tr>
      <w:tr>
        <w:tc>
          <w:tcPr>
            <w:tcW w:type="dxa" w:w="3310"/>
          </w:tcPr>
          <w:p>
            <w:r/>
            <w:r>
              <w:rPr>
                <w:rFonts w:ascii="Calibri" w:hAnsi="Calibri" w:eastAsia="Times New Roman" w:cs="Times New Roman"/>
                <w:sz w:val="19"/>
              </w:rPr>
              <w:t>Transformed π⁽ᵍ⁾</w:t>
            </w:r>
          </w:p>
        </w:tc>
        <w:tc>
          <w:tcPr>
            <w:tcW w:type="dxa" w:w="3310"/>
          </w:tcPr>
          <w:p>
            <w:r/>
            <w:r>
              <w:rPr>
                <w:rFonts w:ascii="Calibri" w:hAnsi="Calibri" w:eastAsia="Times New Roman" w:cs="Times New Roman"/>
                <w:sz w:val="19"/>
              </w:rPr>
              <w:t>[0.1983, 0.2840, 0.3110, 0.2068], order [4, 2, 1, 3]</w:t>
            </w:r>
          </w:p>
        </w:tc>
        <w:tc>
          <w:tcPr>
            <w:tcW w:type="dxa" w:w="3310"/>
          </w:tcPr>
          <w:p/>
        </w:tc>
        <w:tc>
          <w:tcPr>
            <w:tcW w:type="dxa" w:w="3310"/>
          </w:tcPr>
          <w:p/>
        </w:tc>
      </w:tr>
      <w:tr>
        <w:tc>
          <w:tcPr>
            <w:tcW w:type="dxa" w:w="3310"/>
          </w:tcPr>
          <w:p>
            <w:r/>
            <w:r>
              <w:rPr>
                <w:rFonts w:ascii="Calibri" w:hAnsi="Calibri" w:eastAsia="Times New Roman" w:cs="Times New Roman"/>
                <w:sz w:val="19"/>
              </w:rPr>
              <w:t>L1</w:t>
            </w:r>
          </w:p>
        </w:tc>
        <w:tc>
          <w:tcPr>
            <w:tcW w:type="dxa" w:w="3310"/>
          </w:tcPr>
          <w:p>
            <w:r/>
            <w:r>
              <w:rPr>
                <w:rFonts w:ascii="Calibri" w:hAnsi="Calibri" w:eastAsia="Times New Roman" w:cs="Times New Roman"/>
                <w:b/>
                <w:sz w:val="19"/>
              </w:rPr>
              <w:t>0.6893</w:t>
            </w:r>
          </w:p>
        </w:tc>
        <w:tc>
          <w:tcPr>
            <w:tcW w:type="dxa" w:w="3310"/>
          </w:tcPr>
          <w:p/>
        </w:tc>
        <w:tc>
          <w:tcPr>
            <w:tcW w:type="dxa" w:w="3310"/>
          </w:tcPr>
          <w:p/>
        </w:tc>
      </w:tr>
      <w:tr>
        <w:tc>
          <w:tcPr>
            <w:tcW w:type="dxa" w:w="3310"/>
          </w:tcPr>
          <w:p>
            <w:r/>
            <w:r>
              <w:rPr>
                <w:rFonts w:ascii="Calibri" w:hAnsi="Calibri" w:eastAsia="Times New Roman" w:cs="Times New Roman"/>
                <w:sz w:val="19"/>
              </w:rPr>
              <w:t>Rank-reversal count</w:t>
            </w:r>
          </w:p>
        </w:tc>
        <w:tc>
          <w:tcPr>
            <w:tcW w:type="dxa" w:w="3310"/>
          </w:tcPr>
          <w:p>
            <w:r/>
            <w:r>
              <w:rPr>
                <w:rFonts w:ascii="Calibri" w:hAnsi="Calibri" w:eastAsia="Times New Roman" w:cs="Times New Roman"/>
                <w:b/>
                <w:sz w:val="19"/>
              </w:rPr>
              <w:t>3</w:t>
            </w:r>
            <w:r>
              <w:rPr>
                <w:rFonts w:ascii="Calibri" w:hAnsi="Calibri" w:eastAsia="Times New Roman" w:cs="Times New Roman"/>
                <w:sz w:val="19"/>
              </w:rPr>
              <w:t xml:space="preserve"> (complete reversal)</w:t>
            </w:r>
          </w:p>
        </w:tc>
        <w:tc>
          <w:tcPr>
            <w:tcW w:type="dxa" w:w="3310"/>
          </w:tcPr>
          <w:p/>
        </w:tc>
        <w:tc>
          <w:tcPr>
            <w:tcW w:type="dxa" w:w="3310"/>
          </w:tcPr>
          <w:p/>
        </w:tc>
      </w:tr>
      <w:tr>
        <w:tc>
          <w:tcPr>
            <w:tcW w:type="dxa" w:w="3310"/>
          </w:tcPr>
          <w:p>
            <w:r/>
            <w:r>
              <w:rPr>
                <w:rFonts w:ascii="Calibri" w:hAnsi="Calibri" w:eastAsia="Times New Roman" w:cs="Times New Roman"/>
                <w:sz w:val="19"/>
              </w:rPr>
              <w:t>Spearman vs. baseline weight</w:t>
            </w:r>
          </w:p>
        </w:tc>
        <w:tc>
          <w:tcPr>
            <w:tcW w:type="dxa" w:w="3310"/>
          </w:tcPr>
          <w:p>
            <w:r/>
            <w:r>
              <w:rPr>
                <w:rFonts w:ascii="Calibri" w:hAnsi="Calibri" w:eastAsia="Times New Roman" w:cs="Times New Roman"/>
                <w:b/>
                <w:sz w:val="19"/>
              </w:rPr>
              <w:t>−0.20</w:t>
            </w:r>
          </w:p>
        </w:tc>
        <w:tc>
          <w:tcPr>
            <w:tcW w:type="dxa" w:w="3310"/>
          </w:tcPr>
          <w:p/>
        </w:tc>
        <w:tc>
          <w:tcPr>
            <w:tcW w:type="dxa" w:w="3310"/>
          </w:tcPr>
          <w:p/>
        </w:tc>
      </w:tr>
      <w:tr>
        <w:tc>
          <w:tcPr>
            <w:tcW w:type="dxa" w:w="3310"/>
          </w:tcPr>
          <w:p>
            <w:r/>
          </w:p>
        </w:tc>
        <w:tc>
          <w:tcPr>
            <w:tcW w:type="dxa" w:w="3310"/>
          </w:tcPr>
          <w:p>
            <w:r/>
            <w:r>
              <w:rPr>
                <w:rFonts w:ascii="Calibri" w:hAnsi="Calibri" w:eastAsia="Times New Roman" w:cs="Times New Roman"/>
                <w:sz w:val="19"/>
              </w:rPr>
              <w:t>Δπ</w:t>
            </w:r>
          </w:p>
        </w:tc>
        <w:tc>
          <w:tcPr>
            <w:tcW w:type="dxa" w:w="3310"/>
          </w:tcPr>
          <w:p>
            <w:r/>
            <w:r>
              <w:rPr>
                <w:rFonts w:ascii="Calibri" w:hAnsi="Calibri" w:eastAsia="Times New Roman" w:cs="Times New Roman"/>
                <w:sz w:val="19"/>
              </w:rPr>
              <w:t>of quantile-logit metric under same transform</w:t>
            </w:r>
          </w:p>
        </w:tc>
        <w:tc>
          <w:tcPr>
            <w:tcW w:type="dxa" w:w="3310"/>
          </w:tcPr>
          <w:p>
            <w:r/>
            <w:r>
              <w:rPr>
                <w:rFonts w:ascii="Calibri" w:hAnsi="Calibri" w:eastAsia="Times New Roman" w:cs="Times New Roman"/>
                <w:b/>
                <w:sz w:val="19"/>
              </w:rPr>
              <w:t>0.000</w:t>
            </w:r>
            <w:r>
              <w:rPr>
                <w:rFonts w:ascii="Calibri" w:hAnsi="Calibri" w:eastAsia="Times New Roman" w:cs="Times New Roman"/>
                <w:sz w:val="19"/>
              </w:rPr>
              <w:t xml:space="preserve"> (no reversal)</w:t>
            </w:r>
          </w:p>
        </w:tc>
      </w:tr>
    </w:tbl>
    <w:p/>
    <w:p>
      <w:pPr>
        <w:spacing w:after="120"/>
      </w:pPr>
      <w:r>
        <w:rPr>
          <w:rFonts w:ascii="Calibri" w:hAnsi="Calibri" w:eastAsia="Times New Roman" w:cs="Times New Roman"/>
          <w:b/>
          <w:sz w:val="21"/>
        </w:rPr>
        <w:t>Counterexample 2:</w:t>
      </w:r>
      <w:r>
        <w:rPr>
          <w:rFonts w:ascii="Calibri" w:hAnsi="Calibri" w:eastAsia="Times New Roman" w:cs="Times New Roman"/>
          <w:sz w:val="21"/>
        </w:rPr>
        <w:t xml:space="preserve"> applying </w:t>
      </w:r>
      <w:r>
        <w:rPr>
          <w:rFonts w:ascii="Consolas" w:hAnsi="Consolas" w:eastAsia="Times New Roman" w:cs="Times New Roman"/>
          <w:sz w:val="21"/>
        </w:rPr>
        <w:t>probit_std</w:t>
      </w:r>
      <w:r>
        <w:rPr>
          <w:rFonts w:ascii="Calibri" w:hAnsi="Calibri" w:eastAsia="Times New Roman" w:cs="Times New Roman"/>
          <w:sz w:val="21"/>
        </w:rPr>
        <w:t xml:space="preserve"> to X₂ memory difficulty, π changes from [0.543, 0.151, 0.183, 0.123] to [0.415, 0.352, 0.140, 0.094], L1 = 0.400, 1 reversal; quantile metric |Δπ| = 0.</w:t>
      </w:r>
    </w:p>
    <w:p>
      <w:pPr>
        <w:spacing w:after="120"/>
      </w:pPr>
      <w:r>
        <w:rPr>
          <w:rFonts w:ascii="Calibri" w:hAnsi="Calibri" w:eastAsia="Times New Roman" w:cs="Times New Roman"/>
          <w:b/>
          <w:sz w:val="21"/>
        </w:rPr>
        <w:t>Counterexample 3:</w:t>
      </w:r>
      <w:r>
        <w:rPr>
          <w:rFonts w:ascii="Calibri" w:hAnsi="Calibri" w:eastAsia="Times New Roman" w:cs="Times New Roman"/>
          <w:sz w:val="21"/>
        </w:rPr>
        <w:t xml:space="preserve"> applying </w:t>
      </w:r>
      <w:r>
        <w:rPr>
          <w:rFonts w:ascii="Consolas" w:hAnsi="Consolas" w:eastAsia="Times New Roman" w:cs="Times New Roman"/>
          <w:sz w:val="21"/>
        </w:rPr>
        <w:t>power3</w:t>
      </w:r>
      <w:r>
        <w:rPr>
          <w:rFonts w:ascii="Calibri" w:hAnsi="Calibri" w:eastAsia="Times New Roman" w:cs="Times New Roman"/>
          <w:sz w:val="21"/>
        </w:rPr>
        <w:t xml:space="preserve"> to X₂, π → [0.611, 0.047, 0.205, 0.137], L1 = 0.209, 1 reversal; quantile metric |Δπ| = 0.</w:t>
      </w:r>
    </w:p>
    <w:p>
      <w:pPr>
        <w:spacing w:after="120"/>
      </w:pPr>
      <w:r>
        <w:rPr>
          <w:rFonts w:ascii="Calibri" w:hAnsi="Calibri" w:eastAsia="Times New Roman" w:cs="Times New Roman"/>
          <w:sz w:val="21"/>
        </w:rPr>
        <w:t xml:space="preserve">All three counterexamples use </w:t>
      </w:r>
      <w:r>
        <w:rPr>
          <w:rFonts w:ascii="Calibri" w:hAnsi="Calibri" w:eastAsia="Times New Roman" w:cs="Times New Roman"/>
          <w:b/>
          <w:sz w:val="21"/>
        </w:rPr>
        <w:t>strictly monotone</w:t>
      </w:r>
      <w:r>
        <w:rPr>
          <w:rFonts w:ascii="Calibri" w:hAnsi="Calibri" w:eastAsia="Times New Roman" w:cs="Times New Roman"/>
          <w:sz w:val="21"/>
        </w:rPr>
        <w:t xml:space="preserve"> transforms and θ is unchanged—i.e., under "information content completely unchanged, only the scale changed," the weight ranking of linear fusion underwent substantial reversal, and the strongest case completely flips sign. This is our direct response to the objection that "weight drift is just a few decimal points": the drift can be large enough to completely invert the interpretation of the weights.</w:t>
      </w:r>
    </w:p>
    <w:p>
      <w:pPr>
        <w:pStyle w:val="Heading2"/>
        <w:spacing w:before="120" w:after="80"/>
      </w:pPr>
      <w:r>
        <w:rPr>
          <w:rFonts w:ascii="Calibri" w:hAnsi="Calibri" w:eastAsia="Times New Roman" w:cs="Times New Roman"/>
          <w:sz w:val="27"/>
        </w:rPr>
        <w:t>4.6 Boundaries of the synthetic experiment (honest statement)</w:t>
      </w:r>
    </w:p>
    <w:p>
      <w:pPr>
        <w:spacing w:after="120"/>
      </w:pPr>
      <w:r>
        <w:rPr>
          <w:rFonts w:ascii="Calibri" w:hAnsi="Calibri" w:eastAsia="Times New Roman" w:cs="Times New Roman"/>
          <w:b/>
          <w:sz w:val="21"/>
        </w:rPr>
        <w:t>This entire section is synthetic data</w:t>
      </w:r>
      <w:r>
        <w:rPr>
          <w:rFonts w:ascii="Calibri" w:hAnsi="Calibri" w:eastAsia="Times New Roman" w:cs="Times New Roman"/>
          <w:sz w:val="21"/>
        </w:rPr>
        <w:t xml:space="preserve">, the generation method is fully written out, and no external data is used. Three boundaries must be stated: first, the four sources sharing a single latent variable is the </w:t>
      </w:r>
      <w:r>
        <w:rPr>
          <w:rFonts w:ascii="Calibri" w:hAnsi="Calibri" w:eastAsia="Times New Roman" w:cs="Times New Roman"/>
          <w:b/>
          <w:sz w:val="21"/>
        </w:rPr>
        <w:t>most favourable</w:t>
      </w:r>
      <w:r>
        <w:rPr>
          <w:rFonts w:ascii="Calibri" w:hAnsi="Calibri" w:eastAsia="Times New Roman" w:cs="Times New Roman"/>
          <w:sz w:val="21"/>
        </w:rPr>
        <w:t xml:space="preserve"> environment for the "commensurability" proposition—even so, linear fusion remains unstable, which strengthens rather than weakens the conclusion; second, affine invariance (= 0) is an analytic conclusion, not an empirical discovery, and we use it as a control, not a contribution; third, the zero drift of the quantile metric is likewise a design goal (rank invariance), and this experiment </w:t>
      </w:r>
      <w:r>
        <w:rPr>
          <w:rFonts w:ascii="Calibri" w:hAnsi="Calibri" w:eastAsia="Times New Roman" w:cs="Times New Roman"/>
          <w:b/>
          <w:sz w:val="21"/>
        </w:rPr>
        <w:t>verifies</w:t>
      </w:r>
      <w:r>
        <w:rPr>
          <w:rFonts w:ascii="Calibri" w:hAnsi="Calibri" w:eastAsia="Times New Roman" w:cs="Times New Roman"/>
          <w:sz w:val="21"/>
        </w:rPr>
        <w:t xml:space="preserve"> it with finite samples, rather than discovering it. In sum, the role of this section is </w:t>
      </w:r>
      <w:r>
        <w:rPr>
          <w:rFonts w:ascii="Calibri" w:hAnsi="Calibri" w:eastAsia="Times New Roman" w:cs="Times New Roman"/>
          <w:b/>
          <w:sz w:val="21"/>
        </w:rPr>
        <w:t>method validation</w:t>
      </w:r>
      <w:r>
        <w:rPr>
          <w:rFonts w:ascii="Calibri" w:hAnsi="Calibri" w:eastAsia="Times New Roman" w:cs="Times New Roman"/>
          <w:sz w:val="21"/>
        </w:rPr>
        <w:t>; the test on real systems is borne by §5.</w:t>
      </w:r>
    </w:p>
    <w:p>
      <w:pPr>
        <w:pStyle w:val="Heading1"/>
        <w:spacing w:before="200" w:after="80"/>
      </w:pPr>
      <w:r>
        <w:rPr>
          <w:rFonts w:ascii="Calibri" w:hAnsi="Calibri" w:eastAsia="Times New Roman" w:cs="Times New Roman"/>
          <w:sz w:val="32"/>
        </w:rPr>
        <w:t>5 Real-Data Test I: Metric Repair and Two Negative Results</w:t>
      </w:r>
    </w:p>
    <w:p>
      <w:pPr>
        <w:pStyle w:val="Heading2"/>
        <w:spacing w:before="120" w:after="80"/>
      </w:pPr>
      <w:r>
        <w:rPr>
          <w:rFonts w:ascii="Calibri" w:hAnsi="Calibri" w:eastAsia="Times New Roman" w:cs="Times New Roman"/>
          <w:sz w:val="27"/>
        </w:rPr>
        <w:t>5.1 Data, licences, and samples</w:t>
      </w:r>
    </w:p>
    <w:p>
      <w:pPr>
        <w:spacing w:after="120"/>
      </w:pPr>
      <w:r>
        <w:rPr>
          <w:rFonts w:ascii="Calibri" w:hAnsi="Calibri" w:eastAsia="Times New Roman" w:cs="Times New Roman"/>
          <w:b/>
          <w:sz w:val="21"/>
        </w:rPr>
        <w:t>Table 10. Datasets, scale, use in this paper, and licence/citation obligations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Times New Roman" w:cs="Times New Roman"/>
                <w:b/>
                <w:sz w:val="19"/>
              </w:rPr>
              <w:t>Dataset</w:t>
            </w:r>
          </w:p>
        </w:tc>
        <w:tc>
          <w:tcPr>
            <w:tcW w:type="dxa" w:w="3310"/>
            <w:shd w:val="clear" w:color="auto" w:fill="DDDDDD"/>
          </w:tcPr>
          <w:p>
            <w:r>
              <w:rPr>
                <w:b/>
              </w:rPr>
            </w:r>
            <w:r>
              <w:rPr>
                <w:rFonts w:ascii="Calibri" w:hAnsi="Calibri" w:eastAsia="Times New Roman" w:cs="Times New Roman"/>
                <w:b/>
                <w:sz w:val="19"/>
              </w:rPr>
              <w:t>Scale</w:t>
            </w:r>
          </w:p>
        </w:tc>
        <w:tc>
          <w:tcPr>
            <w:tcW w:type="dxa" w:w="3310"/>
            <w:shd w:val="clear" w:color="auto" w:fill="DDDDDD"/>
          </w:tcPr>
          <w:p>
            <w:r>
              <w:rPr>
                <w:b/>
              </w:rPr>
            </w:r>
            <w:r>
              <w:rPr>
                <w:rFonts w:ascii="Calibri" w:hAnsi="Calibri" w:eastAsia="Times New Roman" w:cs="Times New Roman"/>
                <w:b/>
                <w:sz w:val="19"/>
              </w:rPr>
              <w:t>Use in this paper</w:t>
            </w:r>
          </w:p>
        </w:tc>
        <w:tc>
          <w:tcPr>
            <w:tcW w:type="dxa" w:w="3310"/>
            <w:shd w:val="clear" w:color="auto" w:fill="DDDDDD"/>
          </w:tcPr>
          <w:p>
            <w:r>
              <w:rPr>
                <w:b/>
              </w:rPr>
            </w:r>
            <w:r>
              <w:rPr>
                <w:rFonts w:ascii="Calibri" w:hAnsi="Calibri" w:eastAsia="Times New Roman" w:cs="Times New Roman"/>
                <w:b/>
                <w:sz w:val="19"/>
              </w:rPr>
              <w:t>Licence and citation obligation</w:t>
            </w:r>
          </w:p>
        </w:tc>
      </w:tr>
      <w:tr>
        <w:tc>
          <w:tcPr>
            <w:tcW w:type="dxa" w:w="3310"/>
          </w:tcPr>
          <w:p>
            <w:r/>
            <w:r>
              <w:rPr>
                <w:rFonts w:ascii="Calibri" w:hAnsi="Calibri" w:eastAsia="Times New Roman" w:cs="Times New Roman"/>
                <w:sz w:val="19"/>
              </w:rPr>
              <w:t>assist09 (revised)</w:t>
            </w:r>
          </w:p>
        </w:tc>
        <w:tc>
          <w:tcPr>
            <w:tcW w:type="dxa" w:w="3310"/>
          </w:tcPr>
          <w:p>
            <w:r/>
            <w:r>
              <w:rPr>
                <w:rFonts w:ascii="Calibri" w:hAnsi="Calibri" w:eastAsia="Times New Roman" w:cs="Times New Roman"/>
                <w:sz w:val="19"/>
              </w:rPr>
              <w:t>346,860 rows × 31 cols (64,412,812 B)</w:t>
            </w:r>
          </w:p>
        </w:tc>
        <w:tc>
          <w:tcPr>
            <w:tcW w:type="dxa" w:w="3310"/>
          </w:tcPr>
          <w:p>
            <w:r/>
            <w:r>
              <w:rPr>
                <w:rFonts w:ascii="Calibri" w:hAnsi="Calibri" w:eastAsia="Times New Roman" w:cs="Times New Roman"/>
                <w:sz w:val="19"/>
              </w:rPr>
              <w:t>three-source correlation, O1 metric drift, sliding-window error-rate distribution</w:t>
            </w:r>
          </w:p>
        </w:tc>
        <w:tc>
          <w:tcPr>
            <w:tcW w:type="dxa" w:w="3310"/>
          </w:tcPr>
          <w:p>
            <w:r/>
            <w:r>
              <w:rPr>
                <w:rFonts w:ascii="Calibri" w:hAnsi="Calibri" w:eastAsia="Times New Roman" w:cs="Times New Roman"/>
                <w:sz w:val="19"/>
              </w:rPr>
              <w:t>cite Feng et al. (2009) and data page (URL verified before submission)</w:t>
            </w:r>
          </w:p>
        </w:tc>
      </w:tr>
      <w:tr>
        <w:tc>
          <w:tcPr>
            <w:tcW w:type="dxa" w:w="3310"/>
          </w:tcPr>
          <w:p>
            <w:r/>
            <w:r>
              <w:rPr>
                <w:rFonts w:ascii="Calibri" w:hAnsi="Calibri" w:eastAsia="Times New Roman" w:cs="Times New Roman"/>
                <w:sz w:val="19"/>
              </w:rPr>
              <w:t>DBE-KT22</w:t>
            </w:r>
          </w:p>
        </w:tc>
        <w:tc>
          <w:tcPr>
            <w:tcW w:type="dxa" w:w="3310"/>
          </w:tcPr>
          <w:p>
            <w:r/>
            <w:r>
              <w:rPr>
                <w:rFonts w:ascii="Calibri" w:hAnsi="Calibri" w:eastAsia="Times New Roman" w:cs="Times New Roman"/>
                <w:sz w:val="19"/>
              </w:rPr>
              <w:t>161,953 valid responses; 212 items; 1,264 students</w:t>
            </w:r>
          </w:p>
        </w:tc>
        <w:tc>
          <w:tcPr>
            <w:tcW w:type="dxa" w:w="3310"/>
          </w:tcPr>
          <w:p>
            <w:r/>
            <w:r>
              <w:rPr>
                <w:rFonts w:ascii="Calibri" w:hAnsi="Calibri" w:eastAsia="Times New Roman" w:cs="Times New Roman"/>
                <w:sz w:val="19"/>
              </w:rPr>
              <w:t>O2 difficulty estimator, O4 / O4b multi-signal fusion</w:t>
            </w:r>
          </w:p>
        </w:tc>
        <w:tc>
          <w:tcPr>
            <w:tcW w:type="dxa" w:w="3310"/>
          </w:tcPr>
          <w:p>
            <w:r/>
            <w:r>
              <w:rPr>
                <w:rFonts w:ascii="Calibri" w:hAnsi="Calibri" w:eastAsia="Times New Roman" w:cs="Times New Roman"/>
                <w:sz w:val="19"/>
              </w:rPr>
              <w:t>cite arXiv:2208.12651; ADA Dataverse DOI 10.26193/6DZWOH</w:t>
            </w:r>
          </w:p>
        </w:tc>
      </w:tr>
      <w:tr>
        <w:tc>
          <w:tcPr>
            <w:tcW w:type="dxa" w:w="3310"/>
          </w:tcPr>
          <w:p>
            <w:r/>
            <w:r>
              <w:rPr>
                <w:rFonts w:ascii="Calibri" w:hAnsi="Calibri" w:eastAsia="Times New Roman" w:cs="Times New Roman"/>
                <w:sz w:val="19"/>
              </w:rPr>
              <w:t>XES3G5M</w:t>
            </w:r>
          </w:p>
        </w:tc>
        <w:tc>
          <w:tcPr>
            <w:tcW w:type="dxa" w:w="3310"/>
          </w:tcPr>
          <w:p>
            <w:r/>
            <w:r>
              <w:rPr>
                <w:rFonts w:ascii="Calibri" w:hAnsi="Calibri" w:eastAsia="Times New Roman" w:cs="Times New Roman"/>
                <w:sz w:val="19"/>
              </w:rPr>
              <w:t>4,806 items (≥100 responses with KC path); 7,652 items with item text</w:t>
            </w:r>
          </w:p>
        </w:tc>
        <w:tc>
          <w:tcPr>
            <w:tcW w:type="dxa" w:w="3310"/>
          </w:tcPr>
          <w:p>
            <w:r/>
            <w:r>
              <w:rPr>
                <w:rFonts w:ascii="Calibri" w:hAnsi="Calibri" w:eastAsia="Times New Roman" w:cs="Times New Roman"/>
                <w:sz w:val="19"/>
              </w:rPr>
              <w:t>O3 knowledge-tree-structure negative result</w:t>
            </w:r>
          </w:p>
        </w:tc>
        <w:tc>
          <w:tcPr>
            <w:tcW w:type="dxa" w:w="3310"/>
          </w:tcPr>
          <w:p>
            <w:r/>
            <w:r>
              <w:rPr>
                <w:rFonts w:ascii="Calibri" w:hAnsi="Calibri" w:eastAsia="Times New Roman" w:cs="Times New Roman"/>
                <w:sz w:val="19"/>
              </w:rPr>
              <w:t>cite NeurIPS 2023 Datasets &amp; Benchmarks; MIT licence</w:t>
            </w:r>
          </w:p>
        </w:tc>
      </w:tr>
      <w:tr>
        <w:tc>
          <w:tcPr>
            <w:tcW w:type="dxa" w:w="3310"/>
          </w:tcPr>
          <w:p>
            <w:r/>
            <w:r>
              <w:rPr>
                <w:rFonts w:ascii="Calibri" w:hAnsi="Calibri" w:eastAsia="Times New Roman" w:cs="Times New Roman"/>
                <w:sz w:val="19"/>
              </w:rPr>
              <w:t>Junyi Academy</w:t>
            </w:r>
          </w:p>
        </w:tc>
        <w:tc>
          <w:tcPr>
            <w:tcW w:type="dxa" w:w="3310"/>
          </w:tcPr>
          <w:p>
            <w:r/>
            <w:r>
              <w:rPr>
                <w:rFonts w:ascii="Calibri" w:hAnsi="Calibri" w:eastAsia="Times New Roman" w:cs="Times New Roman"/>
                <w:sz w:val="19"/>
              </w:rPr>
              <w:t xml:space="preserve">16,217,311 rows; 72,758 users; </w:t>
            </w:r>
            <w:r>
              <w:rPr>
                <w:rFonts w:ascii="Calibri" w:hAnsi="Calibri" w:eastAsia="Times New Roman" w:cs="Times New Roman"/>
                <w:b/>
                <w:sz w:val="19"/>
              </w:rPr>
              <w:t>1,326 exercises library-wide</w:t>
            </w:r>
          </w:p>
        </w:tc>
        <w:tc>
          <w:tcPr>
            <w:tcW w:type="dxa" w:w="3310"/>
          </w:tcPr>
          <w:p>
            <w:r/>
            <w:r>
              <w:rPr>
                <w:rFonts w:ascii="Calibri" w:hAnsi="Calibri" w:eastAsia="Times New Roman" w:cs="Times New Roman"/>
                <w:sz w:val="19"/>
              </w:rPr>
              <w:t>O5 cross-system reproduction, O6 sample efficiency and robustness, O7 / O8 holdout validation</w:t>
            </w:r>
          </w:p>
        </w:tc>
        <w:tc>
          <w:tcPr>
            <w:tcW w:type="dxa" w:w="3310"/>
          </w:tcPr>
          <w:p>
            <w:r/>
            <w:r>
              <w:rPr>
                <w:rFonts w:ascii="Calibri" w:hAnsi="Calibri" w:eastAsia="Times New Roman" w:cs="Times New Roman"/>
                <w:sz w:val="19"/>
              </w:rPr>
              <w:t>CC-BY-NC-SA-4.0 (</w:t>
            </w:r>
            <w:r>
              <w:rPr>
                <w:rFonts w:ascii="Calibri" w:hAnsi="Calibri" w:eastAsia="Times New Roman" w:cs="Times New Roman"/>
                <w:b/>
                <w:sz w:val="19"/>
              </w:rPr>
              <w:t>commercial use prohibited</w:t>
            </w:r>
            <w:r>
              <w:rPr>
                <w:rFonts w:ascii="Calibri" w:hAnsi="Calibri" w:eastAsia="Times New Roman" w:cs="Times New Roman"/>
                <w:sz w:val="19"/>
              </w:rPr>
              <w:t>); cite Chang et al. (2015)</w:t>
            </w:r>
          </w:p>
        </w:tc>
      </w:tr>
    </w:tbl>
    <w:p/>
    <w:p>
      <w:pPr>
        <w:spacing w:after="120"/>
      </w:pPr>
      <w:r>
        <w:rPr>
          <w:rFonts w:ascii="Calibri" w:hAnsi="Calibri" w:eastAsia="Times New Roman" w:cs="Times New Roman"/>
          <w:b/>
          <w:sz w:val="21"/>
        </w:rPr>
        <w:t>Three calibers of the Junyi exercise count (defined where first appearing, unified thereafter).</w:t>
      </w:r>
      <w:r>
        <w:rPr>
          <w:rFonts w:ascii="Calibri" w:hAnsi="Calibri" w:eastAsia="Times New Roman" w:cs="Times New Roman"/>
          <w:sz w:val="21"/>
        </w:rPr>
        <w:t xml:space="preserve"> This paper uses three different exercise counts in different experiments; they are not contradictions but different filter conditions:</w:t>
      </w:r>
    </w:p>
    <w:p>
      <w:pPr>
        <w:spacing w:after="120"/>
      </w:pPr>
      <w:r>
        <w:rPr>
          <w:rFonts w:ascii="Calibri" w:hAnsi="Calibri" w:eastAsia="Times New Roman" w:cs="Times New Roman"/>
          <w:b/>
          <w:sz w:val="21"/>
        </w:rPr>
        <w:t>Table 11. Three calibers of the Junyi exercise count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Times New Roman" w:cs="Times New Roman"/>
                <w:b/>
                <w:sz w:val="19"/>
              </w:rPr>
              <w:t>Caliber</w:t>
            </w:r>
          </w:p>
        </w:tc>
        <w:tc>
          <w:tcPr>
            <w:tcW w:type="dxa" w:w="3310"/>
            <w:shd w:val="clear" w:color="auto" w:fill="DDDDDD"/>
          </w:tcPr>
          <w:p>
            <w:r>
              <w:rPr>
                <w:b/>
              </w:rPr>
            </w:r>
            <w:r>
              <w:rPr>
                <w:rFonts w:ascii="Calibri" w:hAnsi="Calibri" w:eastAsia="Times New Roman" w:cs="Times New Roman"/>
                <w:b/>
                <w:sz w:val="19"/>
              </w:rPr>
              <w:t>Exercise count</w:t>
            </w:r>
          </w:p>
        </w:tc>
        <w:tc>
          <w:tcPr>
            <w:tcW w:type="dxa" w:w="3310"/>
            <w:shd w:val="clear" w:color="auto" w:fill="DDDDDD"/>
          </w:tcPr>
          <w:p>
            <w:r>
              <w:rPr>
                <w:b/>
              </w:rPr>
            </w:r>
            <w:r>
              <w:rPr>
                <w:rFonts w:ascii="Calibri" w:hAnsi="Calibri" w:eastAsia="Times New Roman" w:cs="Times New Roman"/>
                <w:b/>
                <w:sz w:val="19"/>
              </w:rPr>
              <w:t>Definition</w:t>
            </w:r>
          </w:p>
        </w:tc>
        <w:tc>
          <w:tcPr>
            <w:tcW w:type="dxa" w:w="3310"/>
            <w:shd w:val="clear" w:color="auto" w:fill="DDDDDD"/>
          </w:tcPr>
          <w:p>
            <w:r>
              <w:rPr>
                <w:b/>
              </w:rPr>
            </w:r>
            <w:r>
              <w:rPr>
                <w:rFonts w:ascii="Calibri" w:hAnsi="Calibri" w:eastAsia="Times New Roman" w:cs="Times New Roman"/>
                <w:b/>
                <w:sz w:val="19"/>
              </w:rPr>
              <w:t>Appears in</w:t>
            </w:r>
          </w:p>
        </w:tc>
      </w:tr>
      <w:tr>
        <w:tc>
          <w:tcPr>
            <w:tcW w:type="dxa" w:w="3310"/>
          </w:tcPr>
          <w:p>
            <w:r/>
            <w:r>
              <w:rPr>
                <w:rFonts w:ascii="Calibri" w:hAnsi="Calibri" w:eastAsia="Times New Roman" w:cs="Times New Roman"/>
                <w:sz w:val="19"/>
              </w:rPr>
              <w:t>Library-wide</w:t>
            </w:r>
          </w:p>
        </w:tc>
        <w:tc>
          <w:tcPr>
            <w:tcW w:type="dxa" w:w="3310"/>
          </w:tcPr>
          <w:p>
            <w:r/>
            <w:r>
              <w:rPr>
                <w:rFonts w:ascii="Calibri" w:hAnsi="Calibri" w:eastAsia="Times New Roman" w:cs="Times New Roman"/>
                <w:b/>
                <w:sz w:val="19"/>
              </w:rPr>
              <w:t>1,326</w:t>
            </w:r>
          </w:p>
        </w:tc>
        <w:tc>
          <w:tcPr>
            <w:tcW w:type="dxa" w:w="3310"/>
          </w:tcPr>
          <w:p>
            <w:r/>
            <w:r>
              <w:rPr>
                <w:rFonts w:ascii="Calibri" w:hAnsi="Calibri" w:eastAsia="Times New Roman" w:cs="Times New Roman"/>
                <w:sz w:val="19"/>
              </w:rPr>
              <w:t>all exercises in the Junyi exercise table with response data</w:t>
            </w:r>
          </w:p>
        </w:tc>
        <w:tc>
          <w:tcPr>
            <w:tcW w:type="dxa" w:w="3310"/>
          </w:tcPr>
          <w:p>
            <w:r/>
            <w:r>
              <w:rPr>
                <w:rFonts w:ascii="Calibri" w:hAnsi="Calibri" w:eastAsia="Times New Roman" w:cs="Times New Roman"/>
                <w:sz w:val="19"/>
              </w:rPr>
              <w:t>§5.1 Table 3-1, §5.4</w:t>
            </w:r>
          </w:p>
        </w:tc>
      </w:tr>
      <w:tr>
        <w:tc>
          <w:tcPr>
            <w:tcW w:type="dxa" w:w="3310"/>
          </w:tcPr>
          <w:p>
            <w:r/>
            <w:r>
              <w:rPr>
                <w:rFonts w:ascii="Calibri" w:hAnsi="Calibri" w:eastAsia="Times New Roman" w:cs="Times New Roman"/>
                <w:sz w:val="19"/>
              </w:rPr>
              <w:t>O5 fusion reproduction caliber</w:t>
            </w:r>
          </w:p>
        </w:tc>
        <w:tc>
          <w:tcPr>
            <w:tcW w:type="dxa" w:w="3310"/>
          </w:tcPr>
          <w:p>
            <w:r/>
            <w:r>
              <w:rPr>
                <w:rFonts w:ascii="Calibri" w:hAnsi="Calibri" w:eastAsia="Times New Roman" w:cs="Times New Roman"/>
                <w:b/>
                <w:sz w:val="19"/>
              </w:rPr>
              <w:t>1,234</w:t>
            </w:r>
          </w:p>
        </w:tc>
        <w:tc>
          <w:tcPr>
            <w:tcW w:type="dxa" w:w="3310"/>
          </w:tcPr>
          <w:p>
            <w:r/>
            <w:r>
              <w:rPr>
                <w:rFonts w:ascii="Calibri" w:hAnsi="Calibri" w:eastAsia="Times New Roman" w:cs="Times New Roman"/>
                <w:sz w:val="19"/>
              </w:rPr>
              <w:t>on top of 1,326, add O5 usability filter: exercise must have expert-difficulty annotation and meet O5's minimum-response threshold</w:t>
            </w:r>
          </w:p>
        </w:tc>
        <w:tc>
          <w:tcPr>
            <w:tcW w:type="dxa" w:w="3310"/>
          </w:tcPr>
          <w:p>
            <w:r/>
            <w:r>
              <w:rPr>
                <w:rFonts w:ascii="Calibri" w:hAnsi="Calibri" w:eastAsia="Times New Roman" w:cs="Times New Roman"/>
                <w:sz w:val="19"/>
              </w:rPr>
              <w:t>§6.3, §6.4</w:t>
            </w:r>
          </w:p>
        </w:tc>
      </w:tr>
      <w:tr>
        <w:tc>
          <w:tcPr>
            <w:tcW w:type="dxa" w:w="3310"/>
          </w:tcPr>
          <w:p>
            <w:r/>
            <w:r>
              <w:rPr>
                <w:rFonts w:ascii="Calibri" w:hAnsi="Calibri" w:eastAsia="Times New Roman" w:cs="Times New Roman"/>
                <w:sz w:val="19"/>
              </w:rPr>
              <w:t>O10/O12 criterion-half caliber</w:t>
            </w:r>
          </w:p>
        </w:tc>
        <w:tc>
          <w:tcPr>
            <w:tcW w:type="dxa" w:w="3310"/>
          </w:tcPr>
          <w:p>
            <w:r/>
            <w:r>
              <w:rPr>
                <w:rFonts w:ascii="Calibri" w:hAnsi="Calibri" w:eastAsia="Times New Roman" w:cs="Times New Roman"/>
                <w:b/>
                <w:sz w:val="19"/>
              </w:rPr>
              <w:t>1,238</w:t>
            </w:r>
          </w:p>
        </w:tc>
        <w:tc>
          <w:tcPr>
            <w:tcW w:type="dxa" w:w="3310"/>
          </w:tcPr>
          <w:p>
            <w:r/>
            <w:r>
              <w:rPr>
                <w:rFonts w:ascii="Calibri" w:hAnsi="Calibri" w:eastAsia="Times New Roman" w:cs="Times New Roman"/>
                <w:sz w:val="19"/>
              </w:rPr>
              <w:t>on top of 1,326, require the criterion half (B-half students) to have ≥500 responses per exercise</w:t>
            </w:r>
          </w:p>
        </w:tc>
        <w:tc>
          <w:tcPr>
            <w:tcW w:type="dxa" w:w="3310"/>
          </w:tcPr>
          <w:p>
            <w:r/>
            <w:r>
              <w:rPr>
                <w:rFonts w:ascii="Calibri" w:hAnsi="Calibri" w:eastAsia="Times New Roman" w:cs="Times New Roman"/>
                <w:sz w:val="19"/>
              </w:rPr>
              <w:t>§7.2 O10, §7.8 O12</w:t>
            </w:r>
          </w:p>
        </w:tc>
      </w:tr>
    </w:tbl>
    <w:p/>
    <w:p>
      <w:pPr>
        <w:spacing w:after="120"/>
      </w:pPr>
      <w:r>
        <w:rPr>
          <w:rFonts w:ascii="Calibri" w:hAnsi="Calibri" w:eastAsia="Times New Roman" w:cs="Times New Roman"/>
          <w:sz w:val="21"/>
        </w:rPr>
        <w:t>Of the three calibers only 1,326 is "all exercises with data"; 1,234 and 1,238 are experiment-specific inclusion conditions. Earlier versions mixed two of these values in §3.2 and §5.1 without definition; they are now unified per the table above.</w:t>
      </w:r>
    </w:p>
    <w:p>
      <w:pPr>
        <w:spacing w:after="120"/>
      </w:pPr>
      <w:r>
        <w:rPr>
          <w:rFonts w:ascii="Calibri" w:hAnsi="Calibri" w:eastAsia="Times New Roman" w:cs="Times New Roman"/>
          <w:sz w:val="21"/>
        </w:rPr>
        <w:t xml:space="preserve">The four datasets cover three different evidence regimes, which itself constitutes the external-validity design of this paper: DBE-KT22 has expert difficulty annotation (1/2/3) and student self-report (difficulty feedback and trust); Junyi has expert difficulty annotation (easy/normal/hard) but </w:t>
      </w:r>
      <w:r>
        <w:rPr>
          <w:rFonts w:ascii="Calibri" w:hAnsi="Calibri" w:eastAsia="Times New Roman" w:cs="Times New Roman"/>
          <w:b/>
          <w:sz w:val="21"/>
        </w:rPr>
        <w:t>no self-report channel</w:t>
      </w:r>
      <w:r>
        <w:rPr>
          <w:rFonts w:ascii="Calibri" w:hAnsi="Calibri" w:eastAsia="Times New Roman" w:cs="Times New Roman"/>
          <w:sz w:val="21"/>
        </w:rPr>
        <w:t>; XES3G5M has item text and a knowledge tree but no expert difficulty; assist09 has hint use and multi-skill annotation but no expert difficulty. §6 will use this design to report the "with-feedback" and "without-feedback" regimes separately.</w:t>
      </w:r>
    </w:p>
    <w:p>
      <w:pPr>
        <w:pStyle w:val="Heading2"/>
        <w:spacing w:before="120" w:after="80"/>
      </w:pPr>
      <w:r>
        <w:rPr>
          <w:rFonts w:ascii="Calibri" w:hAnsi="Calibri" w:eastAsia="Times New Roman" w:cs="Times New Roman"/>
          <w:sz w:val="27"/>
        </w:rPr>
        <w:t>5.2 Real difficulty sources pairwise weakly negatively correlated: a form impossible in the synthetic experiment</w:t>
      </w:r>
    </w:p>
    <w:p>
      <w:pPr>
        <w:spacing w:after="120"/>
      </w:pPr>
      <w:r>
        <w:rPr>
          <w:rFonts w:ascii="Calibri" w:hAnsi="Calibri" w:eastAsia="Times New Roman" w:cs="Times New Roman"/>
          <w:sz w:val="21"/>
        </w:rPr>
        <w:t>On assist09's 994 items (≥50 responses), the Spearman correlations among the three realistically available difficulty sources are:</w:t>
      </w:r>
    </w:p>
    <w:p>
      <w:pPr>
        <w:spacing w:after="120"/>
      </w:pPr>
      <w:r>
        <w:rPr>
          <w:rFonts w:ascii="Calibri" w:hAnsi="Calibri" w:eastAsia="Times New Roman" w:cs="Times New Roman"/>
          <w:b/>
          <w:sz w:val="21"/>
        </w:rPr>
        <w:t>Table 12. Pairwise Spearman correlations among the three real difficulty sources on assist09</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Times New Roman" w:cs="Times New Roman"/>
                <w:b/>
                <w:sz w:val="19"/>
              </w:rPr>
              <w:t>Source pair</w:t>
            </w:r>
          </w:p>
        </w:tc>
        <w:tc>
          <w:tcPr>
            <w:tcW w:type="dxa" w:w="6620"/>
            <w:shd w:val="clear" w:color="auto" w:fill="DDDDDD"/>
          </w:tcPr>
          <w:p>
            <w:r>
              <w:rPr>
                <w:b/>
              </w:rPr>
            </w:r>
            <w:r>
              <w:rPr>
                <w:rFonts w:ascii="Calibri" w:hAnsi="Calibri" w:eastAsia="Times New Roman" w:cs="Times New Roman"/>
                <w:b/>
                <w:sz w:val="19"/>
              </w:rPr>
              <w:t>Spearman ρ</w:t>
            </w:r>
          </w:p>
        </w:tc>
      </w:tr>
      <w:tr>
        <w:tc>
          <w:tcPr>
            <w:tcW w:type="dxa" w:w="6620"/>
          </w:tcPr>
          <w:p>
            <w:r/>
            <w:r>
              <w:rPr>
                <w:rFonts w:ascii="Calibri" w:hAnsi="Calibri" w:eastAsia="Times New Roman" w:cs="Times New Roman"/>
                <w:sz w:val="19"/>
              </w:rPr>
              <w:t>IRT difficulty ~ median first-attempt time</w:t>
            </w:r>
          </w:p>
        </w:tc>
        <w:tc>
          <w:tcPr>
            <w:tcW w:type="dxa" w:w="6620"/>
          </w:tcPr>
          <w:p>
            <w:r/>
            <w:r>
              <w:rPr>
                <w:rFonts w:ascii="Calibri" w:hAnsi="Calibri" w:eastAsia="Times New Roman" w:cs="Times New Roman"/>
                <w:b/>
                <w:sz w:val="19"/>
              </w:rPr>
              <w:t>−0.250</w:t>
            </w:r>
          </w:p>
        </w:tc>
      </w:tr>
      <w:tr>
        <w:tc>
          <w:tcPr>
            <w:tcW w:type="dxa" w:w="6620"/>
          </w:tcPr>
          <w:p>
            <w:r/>
            <w:r>
              <w:rPr>
                <w:rFonts w:ascii="Calibri" w:hAnsi="Calibri" w:eastAsia="Times New Roman" w:cs="Times New Roman"/>
                <w:sz w:val="19"/>
              </w:rPr>
              <w:t>IRT difficulty ~ mean attempt count</w:t>
            </w:r>
          </w:p>
        </w:tc>
        <w:tc>
          <w:tcPr>
            <w:tcW w:type="dxa" w:w="6620"/>
          </w:tcPr>
          <w:p>
            <w:r/>
            <w:r>
              <w:rPr>
                <w:rFonts w:ascii="Calibri" w:hAnsi="Calibri" w:eastAsia="Times New Roman" w:cs="Times New Roman"/>
                <w:sz w:val="19"/>
              </w:rPr>
              <w:t>−0.134</w:t>
            </w:r>
          </w:p>
        </w:tc>
      </w:tr>
      <w:tr>
        <w:tc>
          <w:tcPr>
            <w:tcW w:type="dxa" w:w="6620"/>
          </w:tcPr>
          <w:p>
            <w:r/>
            <w:r>
              <w:rPr>
                <w:rFonts w:ascii="Calibri" w:hAnsi="Calibri" w:eastAsia="Times New Roman" w:cs="Times New Roman"/>
                <w:sz w:val="19"/>
              </w:rPr>
              <w:t>First-attempt time ~ mean attempt count</w:t>
            </w:r>
          </w:p>
        </w:tc>
        <w:tc>
          <w:tcPr>
            <w:tcW w:type="dxa" w:w="6620"/>
          </w:tcPr>
          <w:p>
            <w:r/>
            <w:r>
              <w:rPr>
                <w:rFonts w:ascii="Calibri" w:hAnsi="Calibri" w:eastAsia="Times New Roman" w:cs="Times New Roman"/>
                <w:b/>
                <w:sz w:val="19"/>
              </w:rPr>
              <w:t>−0.302</w:t>
            </w:r>
          </w:p>
        </w:tc>
      </w:tr>
    </w:tbl>
    <w:p/>
    <w:p>
      <w:pPr>
        <w:spacing w:after="120"/>
      </w:pPr>
      <w:r>
        <w:rPr>
          <w:rFonts w:ascii="Calibri" w:hAnsi="Calibri" w:eastAsia="Times New Roman" w:cs="Times New Roman"/>
          <w:sz w:val="21"/>
        </w:rPr>
        <w:t xml:space="preserve">The three sources are </w:t>
      </w:r>
      <w:r>
        <w:rPr>
          <w:rFonts w:ascii="Calibri" w:hAnsi="Calibri" w:eastAsia="Times New Roman" w:cs="Times New Roman"/>
          <w:b/>
          <w:sz w:val="21"/>
        </w:rPr>
        <w:t>pairwise negatively correlated</w:t>
      </w:r>
      <w:r>
        <w:rPr>
          <w:rFonts w:ascii="Calibri" w:hAnsi="Calibri" w:eastAsia="Times New Roman" w:cs="Times New Roman"/>
          <w:sz w:val="21"/>
        </w:rPr>
        <w:t xml:space="preserve">: items judged hard by IRT are answered faster and with fewer attempts by students. This is the exact opposite of the synthetic-experiment setting in §4.1 ("the four sources are correlated monotone observations of one latent ability"). The explanation is not mysterious—hard items are often abandoned faster by students (fast abandonment means short time and few attempts), while easy but tedious items take long and many attempts. The important consequence: </w:t>
      </w:r>
      <w:r>
        <w:rPr>
          <w:rFonts w:ascii="Calibri" w:hAnsi="Calibri" w:eastAsia="Times New Roman" w:cs="Times New Roman"/>
          <w:b/>
          <w:sz w:val="21"/>
        </w:rPr>
        <w:t>the real system's difficulty scales are not merely incommensurable, their directions also fight each other</w:t>
      </w:r>
      <w:r>
        <w:rPr>
          <w:rFonts w:ascii="Calibri" w:hAnsi="Calibri" w:eastAsia="Times New Roman" w:cs="Times New Roman"/>
          <w:sz w:val="21"/>
        </w:rPr>
        <w:t>. In the synthetic experiment, min-max fusion drift comes from dispersion differences; in the real data it is overlaid with sign conflict, so it is unsurprising that the observed real drift (0.5357, §5.3) far exceeds the synthetic (0.1276). This finding also explains why "make some source more like logit" local fixes fail: when sources are negatively correlated, any linear combination relying on concrete values weights noise as signal.</w:t>
      </w:r>
    </w:p>
    <w:p>
      <w:pPr>
        <w:pStyle w:val="Heading2"/>
        <w:spacing w:before="120" w:after="80"/>
      </w:pPr>
      <w:r>
        <w:rPr>
          <w:rFonts w:ascii="Calibri" w:hAnsi="Calibri" w:eastAsia="Times New Roman" w:cs="Times New Roman"/>
          <w:sz w:val="27"/>
        </w:rPr>
        <w:t>5.3 O1: from 0.5357 to 0.0001</w:t>
      </w:r>
    </w:p>
    <w:p>
      <w:pPr>
        <w:spacing w:after="120"/>
      </w:pPr>
      <w:r>
        <w:rPr>
          <w:rFonts w:ascii="Calibri" w:hAnsi="Calibri" w:eastAsia="Times New Roman" w:cs="Times New Roman"/>
          <w:sz w:val="21"/>
        </w:rPr>
        <w:t>On the same batch of 994 items, compare the two metrics' effective-weight drift under arbitrary monotone reparameterisation:</w:t>
      </w:r>
    </w:p>
    <w:p>
      <w:pPr>
        <w:spacing w:after="120"/>
      </w:pPr>
      <w:r>
        <w:rPr>
          <w:rFonts w:ascii="Calibri" w:hAnsi="Calibri" w:eastAsia="Times New Roman" w:cs="Times New Roman"/>
          <w:b/>
          <w:sz w:val="21"/>
        </w:rPr>
        <w:t>Table 13. O1: effective-weight drift under the two metrics (assist09, 994 items)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Fusion metric</w:t>
            </w:r>
          </w:p>
        </w:tc>
        <w:tc>
          <w:tcPr>
            <w:tcW w:type="dxa" w:w="4413"/>
            <w:shd w:val="clear" w:color="auto" w:fill="DDDDDD"/>
          </w:tcPr>
          <w:p>
            <w:r>
              <w:rPr>
                <w:b/>
              </w:rPr>
            </w:r>
            <w:r>
              <w:rPr>
                <w:rFonts w:ascii="Calibri" w:hAnsi="Calibri" w:eastAsia="Times New Roman" w:cs="Times New Roman"/>
                <w:b/>
                <w:sz w:val="19"/>
              </w:rPr>
              <w:t>L1 mean</w:t>
            </w:r>
          </w:p>
        </w:tc>
        <w:tc>
          <w:tcPr>
            <w:tcW w:type="dxa" w:w="4413"/>
            <w:shd w:val="clear" w:color="auto" w:fill="DDDDDD"/>
          </w:tcPr>
          <w:p>
            <w:r>
              <w:rPr>
                <w:b/>
              </w:rPr>
            </w:r>
            <w:r>
              <w:rPr>
                <w:rFonts w:ascii="Calibri" w:hAnsi="Calibri" w:eastAsia="Times New Roman" w:cs="Times New Roman"/>
                <w:b/>
                <w:sz w:val="19"/>
              </w:rPr>
              <w:t>Rank reversal</w:t>
            </w:r>
          </w:p>
        </w:tc>
      </w:tr>
      <w:tr>
        <w:tc>
          <w:tcPr>
            <w:tcW w:type="dxa" w:w="4413"/>
          </w:tcPr>
          <w:p>
            <w:r/>
            <w:r>
              <w:rPr>
                <w:rFonts w:ascii="Calibri" w:hAnsi="Calibri" w:eastAsia="Times New Roman" w:cs="Times New Roman"/>
                <w:sz w:val="19"/>
              </w:rPr>
              <w:t>A: min-max linear (status quo)</w:t>
            </w:r>
          </w:p>
        </w:tc>
        <w:tc>
          <w:tcPr>
            <w:tcW w:type="dxa" w:w="4413"/>
          </w:tcPr>
          <w:p>
            <w:r/>
            <w:r>
              <w:rPr>
                <w:rFonts w:ascii="Calibri" w:hAnsi="Calibri" w:eastAsia="Times New Roman" w:cs="Times New Roman"/>
                <w:b/>
                <w:sz w:val="19"/>
              </w:rPr>
              <w:t>0.5357</w:t>
            </w:r>
          </w:p>
        </w:tc>
        <w:tc>
          <w:tcPr>
            <w:tcW w:type="dxa" w:w="4413"/>
          </w:tcPr>
          <w:p>
            <w:r/>
            <w:r>
              <w:rPr>
                <w:rFonts w:ascii="Calibri" w:hAnsi="Calibri" w:eastAsia="Times New Roman" w:cs="Times New Roman"/>
                <w:sz w:val="19"/>
              </w:rPr>
              <w:t>significant</w:t>
            </w:r>
          </w:p>
        </w:tc>
      </w:tr>
      <w:tr>
        <w:tc>
          <w:tcPr>
            <w:tcW w:type="dxa" w:w="4413"/>
          </w:tcPr>
          <w:p>
            <w:r/>
            <w:r>
              <w:rPr>
                <w:rFonts w:ascii="Calibri" w:hAnsi="Calibri" w:eastAsia="Times New Roman" w:cs="Times New Roman"/>
                <w:sz w:val="19"/>
              </w:rPr>
              <w:t>B: empirical CDF → logit (quantile linking)</w:t>
            </w:r>
          </w:p>
        </w:tc>
        <w:tc>
          <w:tcPr>
            <w:tcW w:type="dxa" w:w="4413"/>
          </w:tcPr>
          <w:p>
            <w:r/>
            <w:r>
              <w:rPr>
                <w:rFonts w:ascii="Calibri" w:hAnsi="Calibri" w:eastAsia="Times New Roman" w:cs="Times New Roman"/>
                <w:b/>
                <w:sz w:val="19"/>
              </w:rPr>
              <w:t>0.0001</w:t>
            </w:r>
          </w:p>
        </w:tc>
        <w:tc>
          <w:tcPr>
            <w:tcW w:type="dxa" w:w="4413"/>
          </w:tcPr>
          <w:p>
            <w:r/>
            <w:r>
              <w:rPr>
                <w:rFonts w:ascii="Calibri" w:hAnsi="Calibri" w:eastAsia="Times New Roman" w:cs="Times New Roman"/>
                <w:b/>
                <w:sz w:val="19"/>
              </w:rPr>
              <w:t>0</w:t>
            </w:r>
          </w:p>
        </w:tc>
      </w:tr>
    </w:tbl>
    <w:p/>
    <w:p>
      <w:pPr>
        <w:spacing w:after="120"/>
      </w:pPr>
      <w:r>
        <w:rPr>
          <w:rFonts w:ascii="Calibri" w:hAnsi="Calibri" w:eastAsia="Times New Roman" w:cs="Times New Roman"/>
          <w:b/>
          <w:sz w:val="21"/>
        </w:rPr>
        <w:t>This is the engineering-landing evidence of proposition C1, obtained on real data.</w:t>
      </w:r>
      <w:r>
        <w:rPr>
          <w:rFonts w:ascii="Calibri" w:hAnsi="Calibri" w:eastAsia="Times New Roman" w:cs="Times New Roman"/>
          <w:sz w:val="21"/>
        </w:rPr>
        <w:t xml:space="preserve"> After replacing the difficulty-fusion module from min-max linear fusion to "quantile linking + logit metric," the effective-weight drift under arbitrary monotone reparameterisation drops from 0.5357 to the 1 × 10⁻⁴ order (pure numeric noise), and rank reversals go to zero. Compared with the synthetic experiment (0.1276 → 0), the baseline drift on real data is about 4.2× higher, while the residual drift after repair is likewise zero—i.e., </w:t>
      </w:r>
      <w:r>
        <w:rPr>
          <w:rFonts w:ascii="Calibri" w:hAnsi="Calibri" w:eastAsia="Times New Roman" w:cs="Times New Roman"/>
          <w:b/>
          <w:sz w:val="21"/>
        </w:rPr>
        <w:t>the gain from the metric repair is larger on real data than in the synthetic environment</w:t>
      </w:r>
      <w:r>
        <w:rPr>
          <w:rFonts w:ascii="Calibri" w:hAnsi="Calibri" w:eastAsia="Times New Roman" w:cs="Times New Roman"/>
          <w:sz w:val="21"/>
        </w:rPr>
        <w:t>.</w:t>
      </w:r>
    </w:p>
    <w:p>
      <w:pPr>
        <w:spacing w:after="120"/>
      </w:pPr>
      <w:r>
        <w:rPr>
          <w:rFonts w:ascii="Calibri" w:hAnsi="Calibri" w:eastAsia="Times New Roman" w:cs="Times New Roman"/>
          <w:sz w:val="21"/>
        </w:rPr>
        <w:t>Here the caliber-correction note from the front matter must be restated: an earlier batch of experiments had mixed sign conventions across difficulty sources (some sources' positive direction was "easy," some "hard"), systematically inflating the linear-fusion drift. After unifying to "positive = hard" and recomputing, the value is 0.5357. We do not cite the corrected old value. The qualitative conclusion is identical under both calibers (linear fusion drift ≫ quantile metric), but only 0.5357 is the caliber-consistent, comparable number.</w:t>
      </w:r>
    </w:p>
    <w:p>
      <w:pPr>
        <w:pStyle w:val="Heading2"/>
        <w:spacing w:before="120" w:after="80"/>
      </w:pPr>
      <w:r>
        <w:rPr>
          <w:rFonts w:ascii="Calibri" w:hAnsi="Calibri" w:eastAsia="Times New Roman" w:cs="Times New Roman"/>
          <w:sz w:val="27"/>
        </w:rPr>
        <w:t>5.4 O2: changing the estimator is only worth +0.009</w:t>
      </w:r>
    </w:p>
    <w:p>
      <w:pPr>
        <w:spacing w:after="120"/>
      </w:pPr>
      <w:r>
        <w:rPr>
          <w:rFonts w:ascii="Calibri" w:hAnsi="Calibri" w:eastAsia="Times New Roman" w:cs="Times New Roman"/>
          <w:sz w:val="21"/>
        </w:rPr>
        <w:t>On DBE-KT22 (1,264 students × 212 items), comparing two difficulty estimators against the expert-difficulty annotation (1 easy / 2 medium / 3 hard):</w:t>
      </w:r>
    </w:p>
    <w:p>
      <w:pPr>
        <w:spacing w:after="120"/>
      </w:pPr>
      <w:r>
        <w:rPr>
          <w:rFonts w:ascii="Calibri" w:hAnsi="Calibri" w:eastAsia="Times New Roman" w:cs="Times New Roman"/>
          <w:b/>
          <w:sz w:val="21"/>
        </w:rPr>
        <w:t>Table 14. O2: estimator comparison against expert difficulty on DBE-KT22</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Times New Roman" w:cs="Times New Roman"/>
                <w:b/>
                <w:sz w:val="19"/>
              </w:rPr>
              <w:t>Estimator</w:t>
            </w:r>
          </w:p>
        </w:tc>
        <w:tc>
          <w:tcPr>
            <w:tcW w:type="dxa" w:w="6620"/>
            <w:shd w:val="clear" w:color="auto" w:fill="DDDDDD"/>
          </w:tcPr>
          <w:p>
            <w:r>
              <w:rPr>
                <w:b/>
              </w:rPr>
            </w:r>
            <w:r>
              <w:rPr>
                <w:rFonts w:ascii="Calibri" w:hAnsi="Calibri" w:eastAsia="Times New Roman" w:cs="Times New Roman"/>
                <w:b/>
                <w:sz w:val="19"/>
              </w:rPr>
              <w:t>Spearman ρ with expert grade</w:t>
            </w:r>
          </w:p>
        </w:tc>
      </w:tr>
      <w:tr>
        <w:tc>
          <w:tcPr>
            <w:tcW w:type="dxa" w:w="6620"/>
          </w:tcPr>
          <w:p>
            <w:r/>
            <w:r>
              <w:rPr>
                <w:rFonts w:ascii="Calibri" w:hAnsi="Calibri" w:eastAsia="Times New Roman" w:cs="Times New Roman"/>
                <w:sz w:val="19"/>
              </w:rPr>
              <w:t>Raw correct-rate difficulty (baseline)</w:t>
            </w:r>
          </w:p>
        </w:tc>
        <w:tc>
          <w:tcPr>
            <w:tcW w:type="dxa" w:w="6620"/>
          </w:tcPr>
          <w:p>
            <w:r/>
            <w:r>
              <w:rPr>
                <w:rFonts w:ascii="Calibri" w:hAnsi="Calibri" w:eastAsia="Times New Roman" w:cs="Times New Roman"/>
                <w:sz w:val="19"/>
              </w:rPr>
              <w:t>0.2207</w:t>
            </w:r>
          </w:p>
        </w:tc>
      </w:tr>
      <w:tr>
        <w:tc>
          <w:tcPr>
            <w:tcW w:type="dxa" w:w="6620"/>
          </w:tcPr>
          <w:p>
            <w:r/>
            <w:r>
              <w:rPr>
                <w:rFonts w:ascii="Calibri" w:hAnsi="Calibri" w:eastAsia="Times New Roman" w:cs="Times New Roman"/>
                <w:b/>
                <w:sz w:val="19"/>
              </w:rPr>
              <w:t>Joint IRT-1PL (EM-style gradient, 300 rounds)</w:t>
            </w:r>
          </w:p>
        </w:tc>
        <w:tc>
          <w:tcPr>
            <w:tcW w:type="dxa" w:w="6620"/>
          </w:tcPr>
          <w:p>
            <w:r/>
            <w:r>
              <w:rPr>
                <w:rFonts w:ascii="Calibri" w:hAnsi="Calibri" w:eastAsia="Times New Roman" w:cs="Times New Roman"/>
                <w:b/>
                <w:sz w:val="19"/>
              </w:rPr>
              <w:t>0.2300</w:t>
            </w:r>
          </w:p>
        </w:tc>
      </w:tr>
    </w:tbl>
    <w:p/>
    <w:p>
      <w:pPr>
        <w:spacing w:after="120"/>
      </w:pPr>
      <w:r>
        <w:rPr>
          <w:rFonts w:ascii="Calibri" w:hAnsi="Calibri" w:eastAsia="Times New Roman" w:cs="Times New Roman"/>
          <w:sz w:val="21"/>
        </w:rPr>
        <w:t xml:space="preserve">The IRT stratified means (positive = hard) are level 1 → −1.32, level 2 → −1.19, level 3 → −0.21, </w:t>
      </w:r>
      <w:r>
        <w:rPr>
          <w:rFonts w:ascii="Calibri" w:hAnsi="Calibri" w:eastAsia="Times New Roman" w:cs="Times New Roman"/>
          <w:b/>
          <w:sz w:val="21"/>
        </w:rPr>
        <w:t>monotone with clear hard-level separation</w:t>
      </w:r>
      <w:r>
        <w:rPr>
          <w:rFonts w:ascii="Calibri" w:hAnsi="Calibri" w:eastAsia="Times New Roman" w:cs="Times New Roman"/>
          <w:sz w:val="21"/>
        </w:rPr>
        <w:t>; correct rate decreases monotonically by expert grade (0.803 / 0.770 / 0.632), consistent with the original dataset paper's conclusion.</w:t>
      </w:r>
    </w:p>
    <w:p>
      <w:pPr>
        <w:spacing w:after="120"/>
      </w:pPr>
      <w:r>
        <w:rPr>
          <w:rFonts w:ascii="Calibri" w:hAnsi="Calibri" w:eastAsia="Times New Roman" w:cs="Times New Roman"/>
          <w:b/>
          <w:sz w:val="21"/>
        </w:rPr>
        <w:t>Honest reading: ρ improves by only 0.009.</w:t>
      </w:r>
      <w:r>
        <w:rPr>
          <w:rFonts w:ascii="Calibri" w:hAnsi="Calibri" w:eastAsia="Times New Roman" w:cs="Times New Roman"/>
          <w:sz w:val="21"/>
        </w:rPr>
        <w:t xml:space="preserve"> This is a highly informative negative result: it shows that on the axis "expert annotation vs. behavioural data," the bottleneck is not the complexity of the estimator but the agreement between the expert annotation itself and the response behaviour. This directly negates the implicit expectation in our original preregistration that "a better measurement model would improve commensurability," and prompted the pivot in §6—since the estimator is not the bottleneck, we should test whether the </w:t>
      </w:r>
      <w:r>
        <w:rPr>
          <w:rFonts w:ascii="Calibri" w:hAnsi="Calibri" w:eastAsia="Times New Roman" w:cs="Times New Roman"/>
          <w:b/>
          <w:sz w:val="21"/>
        </w:rPr>
        <w:t>signal set</w:t>
      </w:r>
      <w:r>
        <w:rPr>
          <w:rFonts w:ascii="Calibri" w:hAnsi="Calibri" w:eastAsia="Times New Roman" w:cs="Times New Roman"/>
          <w:sz w:val="21"/>
        </w:rPr>
        <w:t xml:space="preserve"> is the bottleneck. The sequel will show that this pivot brought both the gain of §6 and the reversal of §7.</w:t>
      </w:r>
    </w:p>
    <w:p>
      <w:pPr>
        <w:pStyle w:val="Heading2"/>
        <w:spacing w:before="120" w:after="80"/>
      </w:pPr>
      <w:r>
        <w:rPr>
          <w:rFonts w:ascii="Calibri" w:hAnsi="Calibri" w:eastAsia="Times New Roman" w:cs="Times New Roman"/>
          <w:sz w:val="27"/>
        </w:rPr>
        <w:t>5.5 O3: knowledge-tree structure is not difficulty order</w:t>
      </w:r>
    </w:p>
    <w:p>
      <w:pPr>
        <w:spacing w:after="120"/>
      </w:pPr>
      <w:r>
        <w:rPr>
          <w:rFonts w:ascii="Calibri" w:hAnsi="Calibri" w:eastAsia="Times New Roman" w:cs="Times New Roman"/>
          <w:sz w:val="21"/>
        </w:rPr>
        <w:t>On XES3G5M we test an assumption widely defaulted to in engineering practice but rarely explicitly tested: whether the hierarchical structure of the knowledge-component (KC) tree can serve as a difficulty proxy.</w:t>
      </w:r>
    </w:p>
    <w:p>
      <w:pPr>
        <w:pStyle w:val="ListBullet"/>
        <w:spacing w:after="40"/>
      </w:pPr>
      <w:r>
        <w:rPr>
          <w:rFonts w:ascii="Calibri" w:hAnsi="Calibri" w:eastAsia="Times New Roman" w:cs="Times New Roman"/>
          <w:b/>
          <w:sz w:val="21"/>
        </w:rPr>
        <w:t>Depth correlation</w:t>
      </w:r>
      <w:r>
        <w:rPr>
          <w:rFonts w:ascii="Calibri" w:hAnsi="Calibri" w:eastAsia="Times New Roman" w:cs="Times New Roman"/>
          <w:sz w:val="21"/>
        </w:rPr>
        <w:t xml:space="preserve">: KC-tree depth vs. empirical difficulty has Spearman ρ = </w:t>
      </w:r>
      <w:r>
        <w:rPr>
          <w:rFonts w:ascii="Calibri" w:hAnsi="Calibri" w:eastAsia="Times New Roman" w:cs="Times New Roman"/>
          <w:b/>
          <w:sz w:val="21"/>
        </w:rPr>
        <w:t>+0.0785</w:t>
      </w:r>
      <w:r>
        <w:rPr>
          <w:rFonts w:ascii="Calibri" w:hAnsi="Calibri" w:eastAsia="Times New Roman" w:cs="Times New Roman"/>
          <w:sz w:val="21"/>
        </w:rPr>
        <w:t xml:space="preserve"> (p = 5.1 × 10⁻⁸, significant but extremely weak); the stratified mean is </w:t>
      </w:r>
      <w:r>
        <w:rPr>
          <w:rFonts w:ascii="Calibri" w:hAnsi="Calibri" w:eastAsia="Times New Roman" w:cs="Times New Roman"/>
          <w:b/>
          <w:sz w:val="21"/>
        </w:rPr>
        <w:t>non-monotone</w:t>
      </w:r>
      <w:r>
        <w:rPr>
          <w:rFonts w:ascii="Calibri" w:hAnsi="Calibri" w:eastAsia="Times New Roman" w:cs="Times New Roman"/>
          <w:sz w:val="21"/>
        </w:rPr>
        <w:t>—depth 4 correct rate is 0.799 (easiest), depth 3 is 0.746 (hardest).</w:t>
      </w:r>
    </w:p>
    <w:p>
      <w:pPr>
        <w:pStyle w:val="ListBullet"/>
        <w:spacing w:after="40"/>
      </w:pPr>
      <w:r>
        <w:rPr>
          <w:rFonts w:ascii="Calibri" w:hAnsi="Calibri" w:eastAsia="Times New Roman" w:cs="Times New Roman"/>
          <w:b/>
          <w:sz w:val="21"/>
        </w:rPr>
        <w:t>Tree-edge gradient</w:t>
      </w:r>
      <w:r>
        <w:rPr>
          <w:rFonts w:ascii="Calibri" w:hAnsi="Calibri" w:eastAsia="Times New Roman" w:cs="Times New Roman"/>
          <w:sz w:val="21"/>
        </w:rPr>
        <w:t xml:space="preserve">: among 347 parent–child edges, the proportion with "parent difficulty &lt; child difficulty" is </w:t>
      </w:r>
      <w:r>
        <w:rPr>
          <w:rFonts w:ascii="Calibri" w:hAnsi="Calibri" w:eastAsia="Times New Roman" w:cs="Times New Roman"/>
          <w:b/>
          <w:sz w:val="21"/>
        </w:rPr>
        <w:t>0.487</w:t>
      </w:r>
      <w:r>
        <w:rPr>
          <w:rFonts w:ascii="Calibri" w:hAnsi="Calibri" w:eastAsia="Times New Roman" w:cs="Times New Roman"/>
          <w:sz w:val="21"/>
        </w:rPr>
        <w:t>, about a coin flip.</w:t>
      </w:r>
    </w:p>
    <w:p>
      <w:pPr>
        <w:spacing w:after="120"/>
      </w:pPr>
      <w:r>
        <w:rPr>
          <w:rFonts w:ascii="Calibri" w:hAnsi="Calibri" w:eastAsia="Times New Roman" w:cs="Times New Roman"/>
          <w:sz w:val="21"/>
        </w:rPr>
        <w:t>The two pieces of evidence jointly refute "tree structure = difficulty order." We report this as a small but clean negative result: it depends on no new algorithm, only one correlation test and one direction-consistency test, yet suffices to block a common engineering shortcut—using knowledge-tree depth, section numbering, or course progress as a difficulty estimate. This negative result has been written into the module documentation of the studied system's difficulty-metric layer (§9.2) as a prohibitive constraint.</w:t>
      </w:r>
    </w:p>
    <w:p>
      <w:pPr>
        <w:pStyle w:val="Heading1"/>
        <w:spacing w:before="200" w:after="80"/>
      </w:pPr>
      <w:r>
        <w:rPr>
          <w:rFonts w:ascii="Calibri" w:hAnsi="Calibri" w:eastAsia="Times New Roman" w:cs="Times New Roman"/>
          <w:sz w:val="32"/>
        </w:rPr>
        <w:t>6 Real-Data Test II: Multi-Signal Fusion and the Gain under the Expert-Label Criterion</w:t>
      </w:r>
    </w:p>
    <w:p>
      <w:pPr>
        <w:pStyle w:val="Heading2"/>
        <w:spacing w:before="120" w:after="80"/>
      </w:pPr>
      <w:r>
        <w:rPr>
          <w:rFonts w:ascii="Calibri" w:hAnsi="Calibri" w:eastAsia="Times New Roman" w:cs="Times New Roman"/>
          <w:sz w:val="27"/>
        </w:rPr>
        <w:t>6.1 O4: five-signal fusion on DBE-KT22 and a differential feature</w:t>
      </w:r>
    </w:p>
    <w:p>
      <w:pPr>
        <w:spacing w:after="120"/>
      </w:pPr>
      <w:r>
        <w:rPr>
          <w:rFonts w:ascii="Calibri" w:hAnsi="Calibri" w:eastAsia="Times New Roman" w:cs="Times New Roman"/>
          <w:sz w:val="21"/>
        </w:rPr>
        <w:t xml:space="preserve">O2 showed that changing the estimator helps little. O4 tests another hypothesis: </w:t>
      </w:r>
      <w:r>
        <w:rPr>
          <w:rFonts w:ascii="Calibri" w:hAnsi="Calibri" w:eastAsia="Times New Roman" w:cs="Times New Roman"/>
          <w:b/>
          <w:sz w:val="21"/>
        </w:rPr>
        <w:t>the bottleneck may not be the label but the single behavioural signal (correct rate) itself being information-poor</w:t>
      </w:r>
      <w:r>
        <w:rPr>
          <w:rFonts w:ascii="Calibri" w:hAnsi="Calibri" w:eastAsia="Times New Roman" w:cs="Times New Roman"/>
          <w:sz w:val="21"/>
        </w:rPr>
        <w:t>. Design: on DBE-KT22's 212 items (≥30 transactions per item) take five behavioural signals—success rate (reversed), hint rate, student self-reported difficulty, trust (reversed), mean response time—each transformed by ECDF → logit (i.e., O1's quantile metric, positive = hard) and then linearly fused.</w:t>
      </w:r>
    </w:p>
    <w:p>
      <w:pPr>
        <w:spacing w:after="120"/>
      </w:pPr>
      <w:r>
        <w:rPr>
          <w:rFonts w:ascii="Calibri" w:hAnsi="Calibri" w:eastAsia="Times New Roman" w:cs="Times New Roman"/>
          <w:b/>
          <w:sz w:val="21"/>
        </w:rPr>
        <w:t>Table 15. O4: five-signal fusion on DBE-KT22 and a differential feature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Times New Roman" w:cs="Times New Roman"/>
                <w:b/>
                <w:sz w:val="19"/>
              </w:rPr>
              <w:t>Estimator</w:t>
            </w:r>
          </w:p>
        </w:tc>
        <w:tc>
          <w:tcPr>
            <w:tcW w:type="dxa" w:w="6620"/>
            <w:shd w:val="clear" w:color="auto" w:fill="DDDDDD"/>
          </w:tcPr>
          <w:p>
            <w:r>
              <w:rPr>
                <w:b/>
              </w:rPr>
            </w:r>
            <w:r>
              <w:rPr>
                <w:rFonts w:ascii="Calibri" w:hAnsi="Calibri" w:eastAsia="Times New Roman" w:cs="Times New Roman"/>
                <w:b/>
                <w:sz w:val="19"/>
              </w:rPr>
              <w:t>Spearman ρ with expert 1/2/3</w:t>
            </w:r>
          </w:p>
        </w:tc>
      </w:tr>
      <w:tr>
        <w:tc>
          <w:tcPr>
            <w:tcW w:type="dxa" w:w="6620"/>
          </w:tcPr>
          <w:p>
            <w:r/>
            <w:r>
              <w:rPr>
                <w:rFonts w:ascii="Calibri" w:hAnsi="Calibri" w:eastAsia="Times New Roman" w:cs="Times New Roman"/>
                <w:sz w:val="19"/>
              </w:rPr>
              <w:t>Raw correct rate (O2 baseline)</w:t>
            </w:r>
          </w:p>
        </w:tc>
        <w:tc>
          <w:tcPr>
            <w:tcW w:type="dxa" w:w="6620"/>
          </w:tcPr>
          <w:p>
            <w:r/>
            <w:r>
              <w:rPr>
                <w:rFonts w:ascii="Calibri" w:hAnsi="Calibri" w:eastAsia="Times New Roman" w:cs="Times New Roman"/>
                <w:sz w:val="19"/>
              </w:rPr>
              <w:t>0.2207</w:t>
            </w:r>
          </w:p>
        </w:tc>
      </w:tr>
      <w:tr>
        <w:tc>
          <w:tcPr>
            <w:tcW w:type="dxa" w:w="6620"/>
          </w:tcPr>
          <w:p>
            <w:r/>
            <w:r>
              <w:rPr>
                <w:rFonts w:ascii="Calibri" w:hAnsi="Calibri" w:eastAsia="Times New Roman" w:cs="Times New Roman"/>
                <w:sz w:val="19"/>
              </w:rPr>
              <w:t>Joint IRT-1PL (O2)</w:t>
            </w:r>
          </w:p>
        </w:tc>
        <w:tc>
          <w:tcPr>
            <w:tcW w:type="dxa" w:w="6620"/>
          </w:tcPr>
          <w:p>
            <w:r/>
            <w:r>
              <w:rPr>
                <w:rFonts w:ascii="Calibri" w:hAnsi="Calibri" w:eastAsia="Times New Roman" w:cs="Times New Roman"/>
                <w:sz w:val="19"/>
              </w:rPr>
              <w:t>0.2300</w:t>
            </w:r>
          </w:p>
        </w:tc>
      </w:tr>
      <w:tr>
        <w:tc>
          <w:tcPr>
            <w:tcW w:type="dxa" w:w="6620"/>
          </w:tcPr>
          <w:p>
            <w:r/>
            <w:r>
              <w:rPr>
                <w:rFonts w:ascii="Calibri" w:hAnsi="Calibri" w:eastAsia="Times New Roman" w:cs="Times New Roman"/>
                <w:b/>
                <w:sz w:val="19"/>
              </w:rPr>
              <w:t>Five-signal equal-weight fusion</w:t>
            </w:r>
          </w:p>
        </w:tc>
        <w:tc>
          <w:tcPr>
            <w:tcW w:type="dxa" w:w="6620"/>
          </w:tcPr>
          <w:p>
            <w:r/>
            <w:r>
              <w:rPr>
                <w:rFonts w:ascii="Calibri" w:hAnsi="Calibri" w:eastAsia="Times New Roman" w:cs="Times New Roman"/>
                <w:b/>
                <w:sz w:val="19"/>
              </w:rPr>
              <w:t>0.2918</w:t>
            </w:r>
          </w:p>
        </w:tc>
      </w:tr>
      <w:tr>
        <w:tc>
          <w:tcPr>
            <w:tcW w:type="dxa" w:w="6620"/>
          </w:tcPr>
          <w:p>
            <w:r/>
            <w:r>
              <w:rPr>
                <w:rFonts w:ascii="Calibri" w:hAnsi="Calibri" w:eastAsia="Times New Roman" w:cs="Times New Roman"/>
                <w:sz w:val="19"/>
              </w:rPr>
              <w:t>Optimised weights (greedy, in-sample)</w:t>
            </w:r>
          </w:p>
        </w:tc>
        <w:tc>
          <w:tcPr>
            <w:tcW w:type="dxa" w:w="6620"/>
          </w:tcPr>
          <w:p>
            <w:r/>
            <w:r>
              <w:rPr>
                <w:rFonts w:ascii="Calibri" w:hAnsi="Calibri" w:eastAsia="Times New Roman" w:cs="Times New Roman"/>
                <w:sz w:val="19"/>
              </w:rPr>
              <w:t>0.5306</w:t>
            </w:r>
          </w:p>
        </w:tc>
      </w:tr>
      <w:tr>
        <w:tc>
          <w:tcPr>
            <w:tcW w:type="dxa" w:w="6620"/>
          </w:tcPr>
          <w:p>
            <w:r/>
            <w:r>
              <w:rPr>
                <w:rFonts w:ascii="Calibri" w:hAnsi="Calibri" w:eastAsia="Times New Roman" w:cs="Times New Roman"/>
                <w:b/>
                <w:sz w:val="19"/>
              </w:rPr>
              <w:t>Optimised weights · repeated 5-fold ×10 cross-validation</w:t>
            </w:r>
          </w:p>
        </w:tc>
        <w:tc>
          <w:tcPr>
            <w:tcW w:type="dxa" w:w="6620"/>
          </w:tcPr>
          <w:p>
            <w:r/>
            <w:r>
              <w:rPr>
                <w:rFonts w:ascii="Calibri" w:hAnsi="Calibri" w:eastAsia="Times New Roman" w:cs="Times New Roman"/>
                <w:b/>
                <w:sz w:val="19"/>
              </w:rPr>
              <w:t>0.5240 ± 0.1069</w:t>
            </w:r>
            <w:r>
              <w:rPr>
                <w:rFonts w:ascii="Calibri" w:hAnsi="Calibri" w:eastAsia="Times New Roman" w:cs="Times New Roman"/>
                <w:sz w:val="19"/>
              </w:rPr>
              <w:t xml:space="preserve"> (interval [0.2895, 0.7390])</w:t>
            </w:r>
          </w:p>
        </w:tc>
      </w:tr>
    </w:tbl>
    <w:p/>
    <w:p>
      <w:pPr>
        <w:spacing w:after="120"/>
      </w:pPr>
      <w:r>
        <w:rPr>
          <w:rFonts w:ascii="Calibri" w:hAnsi="Calibri" w:eastAsia="Times New Roman" w:cs="Times New Roman"/>
          <w:sz w:val="21"/>
        </w:rPr>
        <w:t xml:space="preserve">Single-signal performance: trust (reversed) 0.261, time 0.240, success rate (reversed) 0.217, hint rate </w:t>
      </w:r>
      <w:r>
        <w:rPr>
          <w:rFonts w:ascii="Calibri" w:hAnsi="Calibri" w:eastAsia="Times New Roman" w:cs="Times New Roman"/>
          <w:b/>
          <w:sz w:val="21"/>
        </w:rPr>
        <w:t>−0.117</w:t>
      </w:r>
      <w:r>
        <w:rPr>
          <w:rFonts w:ascii="Calibri" w:hAnsi="Calibri" w:eastAsia="Times New Roman" w:cs="Times New Roman"/>
          <w:sz w:val="21"/>
        </w:rPr>
        <w:t xml:space="preserve"> (wrong direction), self-reported difficulty 0.038 (near noise alone).</w:t>
      </w:r>
    </w:p>
    <w:p>
      <w:pPr>
        <w:spacing w:after="120"/>
      </w:pPr>
      <w:r>
        <w:rPr>
          <w:rFonts w:ascii="Calibri" w:hAnsi="Calibri" w:eastAsia="Times New Roman" w:cs="Times New Roman"/>
          <w:b/>
          <w:sz w:val="21"/>
        </w:rPr>
        <w:t>The core finding is a differential feature.</w:t>
      </w:r>
      <w:r>
        <w:rPr>
          <w:rFonts w:ascii="Calibri" w:hAnsi="Calibri" w:eastAsia="Times New Roman" w:cs="Times New Roman"/>
          <w:sz w:val="21"/>
        </w:rPr>
        <w:t xml:space="preserve"> Self-reported difficulty and trust are strongly positively correlated at the item level (Pearson +0.94), but in ECDF space "trust reversed" vs. self-reported difficulty correlate at </w:t>
      </w:r>
      <w:r>
        <w:rPr>
          <w:rFonts w:ascii="Calibri" w:hAnsi="Calibri" w:eastAsia="Times New Roman" w:cs="Times New Roman"/>
          <w:b/>
          <w:sz w:val="21"/>
        </w:rPr>
        <w:t>−0.80</w:t>
      </w:r>
      <w:r>
        <w:rPr>
          <w:rFonts w:ascii="Calibri" w:hAnsi="Calibri" w:eastAsia="Times New Roman" w:cs="Times New Roman"/>
          <w:sz w:val="21"/>
        </w:rPr>
        <w:t xml:space="preserve">. The 50/50 combination selected by the optimised weights is essentially a differential feature: </w:t>
      </w:r>
      <w:r>
        <w:rPr>
          <w:rFonts w:ascii="Calibri" w:hAnsi="Calibri" w:eastAsia="Times New Roman" w:cs="Times New Roman"/>
          <w:b/>
          <w:sz w:val="21"/>
        </w:rPr>
        <w:t>"items that are self-reported difficult AND trust-low are the truly hard ones."</w:t>
      </w:r>
      <w:r>
        <w:rPr>
          <w:rFonts w:ascii="Calibri" w:hAnsi="Calibri" w:eastAsia="Times New Roman" w:cs="Times New Roman"/>
          <w:sz w:val="21"/>
        </w:rPr>
        <w:t xml:space="preserve"> Subtracting two weak signals cancels the common-mode noise, isolates the difficulty-specific variance, and lifts ρ from the single-signal ceiling of 0.26 to the 0.53 order (cross-validation 0.52).</w:t>
      </w:r>
    </w:p>
    <w:p>
      <w:pPr>
        <w:spacing w:after="120"/>
      </w:pPr>
      <w:r>
        <w:rPr>
          <w:rFonts w:ascii="Calibri" w:hAnsi="Calibri" w:eastAsia="Times New Roman" w:cs="Times New Roman"/>
          <w:sz w:val="21"/>
        </w:rPr>
        <w:t xml:space="preserve">Three citation disciplines must be observed: the in-sample 0.5306 has optimistic bias, so </w:t>
      </w:r>
      <w:r>
        <w:rPr>
          <w:rFonts w:ascii="Calibri" w:hAnsi="Calibri" w:eastAsia="Times New Roman" w:cs="Times New Roman"/>
          <w:b/>
          <w:sz w:val="21"/>
        </w:rPr>
        <w:t>cite the cross-validation value</w:t>
      </w:r>
      <w:r>
        <w:rPr>
          <w:rFonts w:ascii="Calibri" w:hAnsi="Calibri" w:eastAsia="Times New Roman" w:cs="Times New Roman"/>
          <w:sz w:val="21"/>
        </w:rPr>
        <w:t xml:space="preserve">; the equal-weight 0.2918 is the tuning-free lower bound, representing "what you get without tuning"; self-reported difficulty and trust come from the same system's student self-reports, independent of expert annotation (no label leakage), but </w:t>
      </w:r>
      <w:r>
        <w:rPr>
          <w:rFonts w:ascii="Calibri" w:hAnsi="Calibri" w:eastAsia="Times New Roman" w:cs="Times New Roman"/>
          <w:b/>
          <w:sz w:val="21"/>
        </w:rPr>
        <w:t>exist only in systems with a feedback mechanism</w:t>
      </w:r>
      <w:r>
        <w:rPr>
          <w:rFonts w:ascii="Calibri" w:hAnsi="Calibri" w:eastAsia="Times New Roman" w:cs="Times New Roman"/>
          <w:sz w:val="21"/>
        </w:rPr>
        <w:t>—feedback-free systems can only fall back to pure-performance-signal fusion (about 0.29).</w:t>
      </w:r>
    </w:p>
    <w:p>
      <w:pPr>
        <w:pStyle w:val="Heading2"/>
        <w:spacing w:before="120" w:after="80"/>
      </w:pPr>
      <w:r>
        <w:rPr>
          <w:rFonts w:ascii="Calibri" w:hAnsi="Calibri" w:eastAsia="Times New Roman" w:cs="Times New Roman"/>
          <w:sz w:val="27"/>
        </w:rPr>
        <w:t>6.2 O4b: extended features add no gain, the differential feature is the driver</w:t>
      </w:r>
    </w:p>
    <w:p>
      <w:pPr>
        <w:spacing w:after="120"/>
      </w:pPr>
      <w:r>
        <w:rPr>
          <w:rFonts w:ascii="Calibri" w:hAnsi="Calibri" w:eastAsia="Times New Roman" w:cs="Times New Roman"/>
          <w:sz w:val="21"/>
        </w:rPr>
        <w:t>To test the mechanistic explanation rather than merely accept its fit, O4b adds three explicit features (explicit difference term, dispersion, response count) and re-estimates by coordinate ascent:</w:t>
      </w:r>
    </w:p>
    <w:p>
      <w:pPr>
        <w:spacing w:after="120"/>
      </w:pPr>
      <w:r>
        <w:rPr>
          <w:rFonts w:ascii="Calibri" w:hAnsi="Calibri" w:eastAsia="Times New Roman" w:cs="Times New Roman"/>
          <w:b/>
          <w:sz w:val="21"/>
        </w:rPr>
        <w:t>Table 16. O4b: extended features add no gain, the differential feature is the driver</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Configuration</w:t>
            </w:r>
          </w:p>
        </w:tc>
        <w:tc>
          <w:tcPr>
            <w:tcW w:type="dxa" w:w="4413"/>
            <w:shd w:val="clear" w:color="auto" w:fill="DDDDDD"/>
          </w:tcPr>
          <w:p>
            <w:r>
              <w:rPr>
                <w:b/>
              </w:rPr>
            </w:r>
            <w:r>
              <w:rPr>
                <w:rFonts w:ascii="Calibri" w:hAnsi="Calibri" w:eastAsia="Times New Roman" w:cs="Times New Roman"/>
                <w:b/>
                <w:sz w:val="19"/>
              </w:rPr>
              <w:t>cross-validation ρ under repeated caliber</w:t>
            </w:r>
          </w:p>
        </w:tc>
        <w:tc>
          <w:tcPr>
            <w:tcW w:type="dxa" w:w="4413"/>
            <w:shd w:val="clear" w:color="auto" w:fill="DDDDDD"/>
          </w:tcPr>
          <w:p>
            <w:r>
              <w:rPr>
                <w:b/>
              </w:rPr>
            </w:r>
            <w:r>
              <w:rPr>
                <w:rFonts w:ascii="Calibri" w:hAnsi="Calibri" w:eastAsia="Times New Roman" w:cs="Times New Roman"/>
                <w:b/>
                <w:sz w:val="19"/>
              </w:rPr>
              <w:t>Note</w:t>
            </w:r>
          </w:p>
        </w:tc>
      </w:tr>
      <w:tr>
        <w:tc>
          <w:tcPr>
            <w:tcW w:type="dxa" w:w="4413"/>
          </w:tcPr>
          <w:p>
            <w:r/>
            <w:r>
              <w:rPr>
                <w:rFonts w:ascii="Calibri" w:hAnsi="Calibri" w:eastAsia="Times New Roman" w:cs="Times New Roman"/>
                <w:sz w:val="19"/>
              </w:rPr>
              <w:t>O4 (5-signal full-grid greedy)</w:t>
            </w:r>
          </w:p>
        </w:tc>
        <w:tc>
          <w:tcPr>
            <w:tcW w:type="dxa" w:w="4413"/>
          </w:tcPr>
          <w:p>
            <w:r/>
            <w:r>
              <w:rPr>
                <w:rFonts w:ascii="Calibri" w:hAnsi="Calibri" w:eastAsia="Times New Roman" w:cs="Times New Roman"/>
                <w:b/>
                <w:sz w:val="19"/>
              </w:rPr>
              <w:t>0.4778</w:t>
            </w:r>
            <w:r>
              <w:rPr>
                <w:rFonts w:ascii="Calibri" w:hAnsi="Calibri" w:eastAsia="Times New Roman" w:cs="Times New Roman"/>
                <w:sz w:val="19"/>
              </w:rPr>
              <w:t xml:space="preserve"> (single 5-fold; cite with caliber noted)</w:t>
            </w:r>
          </w:p>
        </w:tc>
        <w:tc>
          <w:tcPr>
            <w:tcW w:type="dxa" w:w="4413"/>
          </w:tcPr>
          <w:p>
            <w:r/>
            <w:r>
              <w:rPr>
                <w:rFonts w:ascii="Calibri" w:hAnsi="Calibri" w:eastAsia="Times New Roman" w:cs="Times New Roman"/>
                <w:sz w:val="19"/>
              </w:rPr>
              <w:t>final cited configuration</w:t>
            </w:r>
          </w:p>
        </w:tc>
      </w:tr>
      <w:tr>
        <w:tc>
          <w:tcPr>
            <w:tcW w:type="dxa" w:w="4413"/>
          </w:tcPr>
          <w:p>
            <w:r/>
            <w:r>
              <w:rPr>
                <w:rFonts w:ascii="Calibri" w:hAnsi="Calibri" w:eastAsia="Times New Roman" w:cs="Times New Roman"/>
                <w:sz w:val="19"/>
              </w:rPr>
              <w:t>O4b (8 features, coordinate ascent)</w:t>
            </w:r>
          </w:p>
        </w:tc>
        <w:tc>
          <w:tcPr>
            <w:tcW w:type="dxa" w:w="4413"/>
          </w:tcPr>
          <w:p>
            <w:r/>
            <w:r>
              <w:rPr>
                <w:rFonts w:ascii="Calibri" w:hAnsi="Calibri" w:eastAsia="Times New Roman" w:cs="Times New Roman"/>
                <w:sz w:val="19"/>
              </w:rPr>
              <w:t>0.4608</w:t>
            </w:r>
          </w:p>
        </w:tc>
        <w:tc>
          <w:tcPr>
            <w:tcW w:type="dxa" w:w="4413"/>
          </w:tcPr>
          <w:p>
            <w:r/>
            <w:r>
              <w:rPr>
                <w:rFonts w:ascii="Calibri" w:hAnsi="Calibri" w:eastAsia="Times New Roman" w:cs="Times New Roman"/>
                <w:sz w:val="19"/>
              </w:rPr>
              <w:t>does not exceed O4</w:t>
            </w:r>
          </w:p>
        </w:tc>
      </w:tr>
    </w:tbl>
    <w:p/>
    <w:p>
      <w:pPr>
        <w:spacing w:after="120"/>
      </w:pPr>
      <w:r>
        <w:rPr>
          <w:rFonts w:ascii="Calibri" w:hAnsi="Calibri" w:eastAsia="Times New Roman" w:cs="Times New Roman"/>
          <w:sz w:val="21"/>
        </w:rPr>
        <w:t xml:space="preserve">Two direct pieces of evidence support "the differential feature is the driver": the explicit difference feature (self-reported difficulty − trust) alone has ρ = </w:t>
      </w:r>
      <w:r>
        <w:rPr>
          <w:rFonts w:ascii="Calibri" w:hAnsi="Calibri" w:eastAsia="Times New Roman" w:cs="Times New Roman"/>
          <w:b/>
          <w:sz w:val="21"/>
        </w:rPr>
        <w:t>0.389</w:t>
      </w:r>
      <w:r>
        <w:rPr>
          <w:rFonts w:ascii="Calibri" w:hAnsi="Calibri" w:eastAsia="Times New Roman" w:cs="Times New Roman"/>
          <w:sz w:val="21"/>
        </w:rPr>
        <w:t>, the strongest single feature; response count correlates negatively with expert difficulty (ρ = −0.302), indicating popular exercises tend to be core easy items. The added features bring no generalisable gain, so O4 remains the final cited configuration, and O4b serves only as a mechanism-ablation piece of evidence.</w:t>
      </w:r>
    </w:p>
    <w:p>
      <w:pPr>
        <w:pStyle w:val="Heading2"/>
        <w:spacing w:before="120" w:after="80"/>
      </w:pPr>
      <w:r>
        <w:rPr>
          <w:rFonts w:ascii="Calibri" w:hAnsi="Calibri" w:eastAsia="Times New Roman" w:cs="Times New Roman"/>
          <w:sz w:val="27"/>
        </w:rPr>
        <w:t>6.3 O5: cross-system reproduction on Junyi (no-feedback regime)</w:t>
      </w:r>
    </w:p>
    <w:p>
      <w:pPr>
        <w:spacing w:after="120"/>
      </w:pPr>
      <w:r>
        <w:rPr>
          <w:rFonts w:ascii="Calibri" w:hAnsi="Calibri" w:eastAsia="Times New Roman" w:cs="Times New Roman"/>
          <w:sz w:val="21"/>
        </w:rPr>
        <w:t xml:space="preserve">The key difference between Junyi and DBE is: Junyi </w:t>
      </w:r>
      <w:r>
        <w:rPr>
          <w:rFonts w:ascii="Calibri" w:hAnsi="Calibri" w:eastAsia="Times New Roman" w:cs="Times New Roman"/>
          <w:b/>
          <w:sz w:val="21"/>
        </w:rPr>
        <w:t>has no student self-report feedback field</w:t>
      </w:r>
      <w:r>
        <w:rPr>
          <w:rFonts w:ascii="Calibri" w:hAnsi="Calibri" w:eastAsia="Times New Roman" w:cs="Times New Roman"/>
          <w:sz w:val="21"/>
        </w:rPr>
        <w:t>, a "performance-signal-only" regime. This exactly tests how much of O4's gain survives on a feedback-free system.</w:t>
      </w:r>
    </w:p>
    <w:p>
      <w:pPr>
        <w:spacing w:after="120"/>
      </w:pPr>
      <w:r>
        <w:rPr>
          <w:rFonts w:ascii="Calibri" w:hAnsi="Calibri" w:eastAsia="Times New Roman" w:cs="Times New Roman"/>
          <w:b/>
          <w:sz w:val="21"/>
        </w:rPr>
        <w:t>Table 17. O5: cross-system reproduction on Junyi (no-feedback regime)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Times New Roman" w:cs="Times New Roman"/>
                <w:b/>
                <w:sz w:val="19"/>
              </w:rPr>
              <w:t>Estimator (Junyi, 1,234 exercises)</w:t>
            </w:r>
          </w:p>
        </w:tc>
        <w:tc>
          <w:tcPr>
            <w:tcW w:type="dxa" w:w="6620"/>
            <w:shd w:val="clear" w:color="auto" w:fill="DDDDDD"/>
          </w:tcPr>
          <w:p>
            <w:r>
              <w:rPr>
                <w:b/>
              </w:rPr>
            </w:r>
            <w:r>
              <w:rPr>
                <w:rFonts w:ascii="Calibri" w:hAnsi="Calibri" w:eastAsia="Times New Roman" w:cs="Times New Roman"/>
                <w:b/>
                <w:sz w:val="19"/>
              </w:rPr>
              <w:t>Spearman ρ with expert easy/normal/hard</w:t>
            </w:r>
          </w:p>
        </w:tc>
      </w:tr>
      <w:tr>
        <w:tc>
          <w:tcPr>
            <w:tcW w:type="dxa" w:w="6620"/>
          </w:tcPr>
          <w:p>
            <w:r/>
            <w:r>
              <w:rPr>
                <w:rFonts w:ascii="Calibri" w:hAnsi="Calibri" w:eastAsia="Times New Roman" w:cs="Times New Roman"/>
                <w:sz w:val="19"/>
              </w:rPr>
              <w:t>Success rate only</w:t>
            </w:r>
          </w:p>
        </w:tc>
        <w:tc>
          <w:tcPr>
            <w:tcW w:type="dxa" w:w="6620"/>
          </w:tcPr>
          <w:p>
            <w:r/>
            <w:r>
              <w:rPr>
                <w:rFonts w:ascii="Calibri" w:hAnsi="Calibri" w:eastAsia="Times New Roman" w:cs="Times New Roman"/>
                <w:sz w:val="19"/>
              </w:rPr>
              <w:t>0.2610</w:t>
            </w:r>
          </w:p>
        </w:tc>
      </w:tr>
      <w:tr>
        <w:tc>
          <w:tcPr>
            <w:tcW w:type="dxa" w:w="6620"/>
          </w:tcPr>
          <w:p>
            <w:r/>
            <w:r>
              <w:rPr>
                <w:rFonts w:ascii="Calibri" w:hAnsi="Calibri" w:eastAsia="Times New Roman" w:cs="Times New Roman"/>
                <w:b/>
                <w:sz w:val="19"/>
              </w:rPr>
              <w:t>Seven-signal equal-weight fusion</w:t>
            </w:r>
          </w:p>
        </w:tc>
        <w:tc>
          <w:tcPr>
            <w:tcW w:type="dxa" w:w="6620"/>
          </w:tcPr>
          <w:p>
            <w:r/>
            <w:r>
              <w:rPr>
                <w:rFonts w:ascii="Calibri" w:hAnsi="Calibri" w:eastAsia="Times New Roman" w:cs="Times New Roman"/>
                <w:b/>
                <w:sz w:val="19"/>
              </w:rPr>
              <w:t>0.3629</w:t>
            </w:r>
            <w:r>
              <w:rPr>
                <w:rFonts w:ascii="Calibri" w:hAnsi="Calibri" w:eastAsia="Times New Roman" w:cs="Times New Roman"/>
                <w:sz w:val="19"/>
              </w:rPr>
              <w:t xml:space="preserve"> (+39% vs. baseline)</w:t>
            </w:r>
          </w:p>
        </w:tc>
      </w:tr>
      <w:tr>
        <w:tc>
          <w:tcPr>
            <w:tcW w:type="dxa" w:w="6620"/>
          </w:tcPr>
          <w:p>
            <w:r/>
            <w:r>
              <w:rPr>
                <w:rFonts w:ascii="Calibri" w:hAnsi="Calibri" w:eastAsia="Times New Roman" w:cs="Times New Roman"/>
                <w:sz w:val="19"/>
              </w:rPr>
              <w:t>Coordinate-ascent optimised · repeated 5-fold ×10</w:t>
            </w:r>
          </w:p>
        </w:tc>
        <w:tc>
          <w:tcPr>
            <w:tcW w:type="dxa" w:w="6620"/>
          </w:tcPr>
          <w:p>
            <w:r/>
            <w:r>
              <w:rPr>
                <w:rFonts w:ascii="Calibri" w:hAnsi="Calibri" w:eastAsia="Times New Roman" w:cs="Times New Roman"/>
                <w:b/>
                <w:sz w:val="19"/>
              </w:rPr>
              <w:t>0.4023 ± 0.0480</w:t>
            </w:r>
            <w:r>
              <w:rPr>
                <w:rFonts w:ascii="Calibri" w:hAnsi="Calibri" w:eastAsia="Times New Roman" w:cs="Times New Roman"/>
                <w:sz w:val="19"/>
              </w:rPr>
              <w:t xml:space="preserve"> (interval [0.3227, 0.4909])</w:t>
            </w:r>
          </w:p>
        </w:tc>
      </w:tr>
    </w:tbl>
    <w:p/>
    <w:p>
      <w:pPr>
        <w:spacing w:after="120"/>
      </w:pPr>
      <w:r>
        <w:rPr>
          <w:rFonts w:ascii="Calibri" w:hAnsi="Calibri" w:eastAsia="Times New Roman" w:cs="Times New Roman"/>
          <w:sz w:val="21"/>
        </w:rPr>
        <w:t xml:space="preserve">Single signals: repeat-session rate 0.294, mean attempt count 0.285, downgrade rate 0.271, success rate (reversed) 0.261, hint rate 0.217, time 0.214, upgrade rate </w:t>
      </w:r>
      <w:r>
        <w:rPr>
          <w:rFonts w:ascii="Calibri" w:hAnsi="Calibri" w:eastAsia="Times New Roman" w:cs="Times New Roman"/>
          <w:b/>
          <w:sz w:val="21"/>
        </w:rPr>
        <w:t>−0.184</w:t>
      </w:r>
      <w:r>
        <w:rPr>
          <w:rFonts w:ascii="Calibri" w:hAnsi="Calibri" w:eastAsia="Times New Roman" w:cs="Times New Roman"/>
          <w:sz w:val="21"/>
        </w:rPr>
        <w:t xml:space="preserve"> (reversed).</w:t>
      </w:r>
    </w:p>
    <w:p>
      <w:pPr>
        <w:spacing w:after="120"/>
      </w:pPr>
      <w:r>
        <w:rPr>
          <w:rFonts w:ascii="Calibri" w:hAnsi="Calibri" w:eastAsia="Times New Roman" w:cs="Times New Roman"/>
          <w:b/>
          <w:sz w:val="21"/>
        </w:rPr>
        <w:t>Conclusion:</w:t>
      </w:r>
      <w:r>
        <w:rPr>
          <w:rFonts w:ascii="Calibri" w:hAnsi="Calibri" w:eastAsia="Times New Roman" w:cs="Times New Roman"/>
          <w:sz w:val="21"/>
        </w:rPr>
        <w:t xml:space="preserve"> the fusion gain </w:t>
      </w:r>
      <w:r>
        <w:rPr>
          <w:rFonts w:ascii="Calibri" w:hAnsi="Calibri" w:eastAsia="Times New Roman" w:cs="Times New Roman"/>
          <w:b/>
          <w:sz w:val="21"/>
        </w:rPr>
        <w:t>is not DBE-specific</w:t>
      </w:r>
      <w:r>
        <w:rPr>
          <w:rFonts w:ascii="Calibri" w:hAnsi="Calibri" w:eastAsia="Times New Roman" w:cs="Times New Roman"/>
          <w:sz w:val="21"/>
        </w:rPr>
        <w:t>. On 16.21 million interactions, 1,234 items, a completely different subject (Taiwan mathematics) and a different regime (no feedback), the equal-weight fusion improvement over baseline (+39%) is of the same order as DBE's (0.2207 → 0.2918, +31%). This provides cross-system evidence for "difficulty estimation should use multi-signal rank fusion rather than single correct rate," while delimiting the upper bound reachable by feedback-free systems (about 0.36–0.40).</w:t>
      </w:r>
    </w:p>
    <w:p>
      <w:pPr>
        <w:spacing w:after="120"/>
      </w:pPr>
      <w:r>
        <w:rPr>
          <w:rFonts w:ascii="Calibri" w:hAnsi="Calibri" w:eastAsia="Times New Roman" w:cs="Times New Roman"/>
          <w:sz w:val="21"/>
        </w:rPr>
        <w:t xml:space="preserve">A pre-emptive warning to readers: every gain in this section uses the criterion of </w:t>
      </w:r>
      <w:r>
        <w:rPr>
          <w:rFonts w:ascii="Calibri" w:hAnsi="Calibri" w:eastAsia="Times New Roman" w:cs="Times New Roman"/>
          <w:b/>
          <w:sz w:val="21"/>
        </w:rPr>
        <w:t>expert difficulty labels</w:t>
      </w:r>
      <w:r>
        <w:rPr>
          <w:rFonts w:ascii="Calibri" w:hAnsi="Calibri" w:eastAsia="Times New Roman" w:cs="Times New Roman"/>
          <w:sz w:val="21"/>
        </w:rPr>
        <w:t>. §7 will switch the criterion to "real performance on unseen samples," at which point the conclusion reverses. The table numbers here are themselves correct, but the boundary of their interpretive power is redrawn in §7.</w:t>
      </w:r>
    </w:p>
    <w:p>
      <w:pPr>
        <w:pStyle w:val="Heading2"/>
        <w:spacing w:before="120" w:after="80"/>
      </w:pPr>
      <w:r>
        <w:rPr>
          <w:rFonts w:ascii="Calibri" w:hAnsi="Calibri" w:eastAsia="Times New Roman" w:cs="Times New Roman"/>
          <w:sz w:val="27"/>
        </w:rPr>
        <w:t>6.4 O6a: sample efficiency — the gain is complementary information, not denoising</w:t>
      </w:r>
    </w:p>
    <w:p>
      <w:pPr>
        <w:spacing w:after="120"/>
      </w:pPr>
      <w:r>
        <w:rPr>
          <w:rFonts w:ascii="Calibri" w:hAnsi="Calibri" w:eastAsia="Times New Roman" w:cs="Times New Roman"/>
          <w:sz w:val="21"/>
        </w:rPr>
        <w:t>If the fusion benefit were merely "multi-signal averaging out noise," the benefit should vanish as sample size grows. O6a uses reservoir sampling to give, for each item, random subsamples of any k ∈ {10, …, 500} responses (30 repeats per bracket) to test this.</w:t>
      </w:r>
    </w:p>
    <w:p>
      <w:pPr>
        <w:spacing w:after="120"/>
      </w:pPr>
      <w:r>
        <w:rPr>
          <w:rFonts w:ascii="Calibri" w:hAnsi="Calibri" w:eastAsia="Times New Roman" w:cs="Times New Roman"/>
          <w:b/>
          <w:sz w:val="21"/>
        </w:rPr>
        <w:t>Table 18. O6a: sample efficiency — the gain is complementary information, not denoising</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891"/>
        <w:gridCol w:w="1891"/>
        <w:gridCol w:w="1891"/>
        <w:gridCol w:w="1891"/>
        <w:gridCol w:w="1891"/>
        <w:gridCol w:w="1891"/>
        <w:gridCol w:w="1891"/>
      </w:tblGrid>
      <w:tr>
        <w:tc>
          <w:tcPr>
            <w:tcW w:type="dxa" w:w="1891"/>
            <w:shd w:val="clear" w:color="auto" w:fill="DDDDDD"/>
          </w:tcPr>
          <w:p>
            <w:r>
              <w:rPr>
                <w:b/>
              </w:rPr>
            </w:r>
            <w:r>
              <w:rPr>
                <w:rFonts w:ascii="Calibri" w:hAnsi="Calibri" w:eastAsia="Times New Roman" w:cs="Times New Roman"/>
                <w:b/>
                <w:sz w:val="19"/>
              </w:rPr>
              <w:t>k</w:t>
            </w:r>
          </w:p>
        </w:tc>
        <w:tc>
          <w:tcPr>
            <w:tcW w:type="dxa" w:w="1891"/>
            <w:shd w:val="clear" w:color="auto" w:fill="DDDDDD"/>
          </w:tcPr>
          <w:p>
            <w:r>
              <w:rPr>
                <w:b/>
              </w:rPr>
            </w:r>
            <w:r>
              <w:rPr>
                <w:rFonts w:ascii="Calibri" w:hAnsi="Calibri" w:eastAsia="Times New Roman" w:cs="Times New Roman"/>
                <w:b/>
                <w:sz w:val="19"/>
              </w:rPr>
              <w:t>Junyi success-only</w:t>
            </w:r>
          </w:p>
        </w:tc>
        <w:tc>
          <w:tcPr>
            <w:tcW w:type="dxa" w:w="1891"/>
            <w:shd w:val="clear" w:color="auto" w:fill="DDDDDD"/>
          </w:tcPr>
          <w:p>
            <w:r>
              <w:rPr>
                <w:b/>
              </w:rPr>
            </w:r>
            <w:r>
              <w:rPr>
                <w:rFonts w:ascii="Calibri" w:hAnsi="Calibri" w:eastAsia="Times New Roman" w:cs="Times New Roman"/>
                <w:b/>
                <w:sz w:val="19"/>
              </w:rPr>
              <w:t>Junyi fusion</w:t>
            </w:r>
          </w:p>
        </w:tc>
        <w:tc>
          <w:tcPr>
            <w:tcW w:type="dxa" w:w="1891"/>
            <w:shd w:val="clear" w:color="auto" w:fill="DDDDDD"/>
          </w:tcPr>
          <w:p>
            <w:r>
              <w:rPr>
                <w:b/>
              </w:rPr>
            </w:r>
            <w:r>
              <w:rPr>
                <w:rFonts w:ascii="Calibri" w:hAnsi="Calibri" w:eastAsia="Times New Roman" w:cs="Times New Roman"/>
                <w:b/>
                <w:sz w:val="19"/>
              </w:rPr>
              <w:t>paired win rate</w:t>
            </w:r>
          </w:p>
        </w:tc>
        <w:tc>
          <w:tcPr>
            <w:tcW w:type="dxa" w:w="1891"/>
            <w:shd w:val="clear" w:color="auto" w:fill="DDDDDD"/>
          </w:tcPr>
          <w:p>
            <w:r>
              <w:rPr>
                <w:b/>
              </w:rPr>
            </w:r>
            <w:r>
              <w:rPr>
                <w:rFonts w:ascii="Calibri" w:hAnsi="Calibri" w:eastAsia="Times New Roman" w:cs="Times New Roman"/>
                <w:b/>
                <w:sz w:val="19"/>
              </w:rPr>
              <w:t>DBE success-only</w:t>
            </w:r>
          </w:p>
        </w:tc>
        <w:tc>
          <w:tcPr>
            <w:tcW w:type="dxa" w:w="1891"/>
            <w:shd w:val="clear" w:color="auto" w:fill="DDDDDD"/>
          </w:tcPr>
          <w:p>
            <w:r>
              <w:rPr>
                <w:b/>
              </w:rPr>
            </w:r>
            <w:r>
              <w:rPr>
                <w:rFonts w:ascii="Calibri" w:hAnsi="Calibri" w:eastAsia="Times New Roman" w:cs="Times New Roman"/>
                <w:b/>
                <w:sz w:val="19"/>
              </w:rPr>
              <w:t>DBE fusion</w:t>
            </w:r>
          </w:p>
        </w:tc>
        <w:tc>
          <w:tcPr>
            <w:tcW w:type="dxa" w:w="1891"/>
            <w:shd w:val="clear" w:color="auto" w:fill="DDDDDD"/>
          </w:tcPr>
          <w:p>
            <w:r>
              <w:rPr>
                <w:b/>
              </w:rPr>
            </w:r>
            <w:r>
              <w:rPr>
                <w:rFonts w:ascii="Calibri" w:hAnsi="Calibri" w:eastAsia="Times New Roman" w:cs="Times New Roman"/>
                <w:b/>
                <w:sz w:val="19"/>
              </w:rPr>
              <w:t>paired win rate</w:t>
            </w:r>
          </w:p>
        </w:tc>
      </w:tr>
      <w:tr>
        <w:tc>
          <w:tcPr>
            <w:tcW w:type="dxa" w:w="1891"/>
          </w:tcPr>
          <w:p>
            <w:r/>
            <w:r>
              <w:rPr>
                <w:rFonts w:ascii="Calibri" w:hAnsi="Calibri" w:eastAsia="Times New Roman" w:cs="Times New Roman"/>
                <w:sz w:val="19"/>
              </w:rPr>
              <w:t>10</w:t>
            </w:r>
          </w:p>
        </w:tc>
        <w:tc>
          <w:tcPr>
            <w:tcW w:type="dxa" w:w="1891"/>
          </w:tcPr>
          <w:p>
            <w:r/>
            <w:r>
              <w:rPr>
                <w:rFonts w:ascii="Calibri" w:hAnsi="Calibri" w:eastAsia="Times New Roman" w:cs="Times New Roman"/>
                <w:sz w:val="19"/>
              </w:rPr>
              <w:t>0.1750</w:t>
            </w:r>
          </w:p>
        </w:tc>
        <w:tc>
          <w:tcPr>
            <w:tcW w:type="dxa" w:w="1891"/>
          </w:tcPr>
          <w:p>
            <w:r/>
            <w:r>
              <w:rPr>
                <w:rFonts w:ascii="Calibri" w:hAnsi="Calibri" w:eastAsia="Times New Roman" w:cs="Times New Roman"/>
                <w:sz w:val="19"/>
              </w:rPr>
              <w:t>0.2260</w:t>
            </w:r>
          </w:p>
        </w:tc>
        <w:tc>
          <w:tcPr>
            <w:tcW w:type="dxa" w:w="1891"/>
          </w:tcPr>
          <w:p>
            <w:r/>
            <w:r>
              <w:rPr>
                <w:rFonts w:ascii="Calibri" w:hAnsi="Calibri" w:eastAsia="Times New Roman" w:cs="Times New Roman"/>
                <w:sz w:val="19"/>
              </w:rPr>
              <w:t>1.00</w:t>
            </w:r>
          </w:p>
        </w:tc>
        <w:tc>
          <w:tcPr>
            <w:tcW w:type="dxa" w:w="1891"/>
          </w:tcPr>
          <w:p>
            <w:r/>
            <w:r>
              <w:rPr>
                <w:rFonts w:ascii="Calibri" w:hAnsi="Calibri" w:eastAsia="Times New Roman" w:cs="Times New Roman"/>
                <w:sz w:val="19"/>
              </w:rPr>
              <w:t>0.2024</w:t>
            </w:r>
          </w:p>
        </w:tc>
        <w:tc>
          <w:tcPr>
            <w:tcW w:type="dxa" w:w="1891"/>
          </w:tcPr>
          <w:p>
            <w:r/>
            <w:r>
              <w:rPr>
                <w:rFonts w:ascii="Calibri" w:hAnsi="Calibri" w:eastAsia="Times New Roman" w:cs="Times New Roman"/>
                <w:sz w:val="19"/>
              </w:rPr>
              <w:t>0.2316</w:t>
            </w:r>
          </w:p>
        </w:tc>
        <w:tc>
          <w:tcPr>
            <w:tcW w:type="dxa" w:w="1891"/>
          </w:tcPr>
          <w:p>
            <w:r/>
            <w:r>
              <w:rPr>
                <w:rFonts w:ascii="Calibri" w:hAnsi="Calibri" w:eastAsia="Times New Roman" w:cs="Times New Roman"/>
                <w:sz w:val="19"/>
              </w:rPr>
              <w:t>0.87</w:t>
            </w:r>
          </w:p>
        </w:tc>
      </w:tr>
      <w:tr>
        <w:tc>
          <w:tcPr>
            <w:tcW w:type="dxa" w:w="1891"/>
          </w:tcPr>
          <w:p>
            <w:r/>
            <w:r>
              <w:rPr>
                <w:rFonts w:ascii="Calibri" w:hAnsi="Calibri" w:eastAsia="Times New Roman" w:cs="Times New Roman"/>
                <w:sz w:val="19"/>
              </w:rPr>
              <w:t>25</w:t>
            </w:r>
          </w:p>
        </w:tc>
        <w:tc>
          <w:tcPr>
            <w:tcW w:type="dxa" w:w="1891"/>
          </w:tcPr>
          <w:p>
            <w:r/>
            <w:r>
              <w:rPr>
                <w:rFonts w:ascii="Calibri" w:hAnsi="Calibri" w:eastAsia="Times New Roman" w:cs="Times New Roman"/>
                <w:sz w:val="19"/>
              </w:rPr>
              <w:t>0.2116</w:t>
            </w:r>
          </w:p>
        </w:tc>
        <w:tc>
          <w:tcPr>
            <w:tcW w:type="dxa" w:w="1891"/>
          </w:tcPr>
          <w:p>
            <w:r/>
            <w:r>
              <w:rPr>
                <w:rFonts w:ascii="Calibri" w:hAnsi="Calibri" w:eastAsia="Times New Roman" w:cs="Times New Roman"/>
                <w:sz w:val="19"/>
              </w:rPr>
              <w:t>0.2640</w:t>
            </w:r>
          </w:p>
        </w:tc>
        <w:tc>
          <w:tcPr>
            <w:tcW w:type="dxa" w:w="1891"/>
          </w:tcPr>
          <w:p>
            <w:r/>
            <w:r>
              <w:rPr>
                <w:rFonts w:ascii="Calibri" w:hAnsi="Calibri" w:eastAsia="Times New Roman" w:cs="Times New Roman"/>
                <w:sz w:val="19"/>
              </w:rPr>
              <w:t>1.00</w:t>
            </w:r>
          </w:p>
        </w:tc>
        <w:tc>
          <w:tcPr>
            <w:tcW w:type="dxa" w:w="1891"/>
          </w:tcPr>
          <w:p>
            <w:r/>
            <w:r>
              <w:rPr>
                <w:rFonts w:ascii="Calibri" w:hAnsi="Calibri" w:eastAsia="Times New Roman" w:cs="Times New Roman"/>
                <w:sz w:val="19"/>
              </w:rPr>
              <w:t>0.2113</w:t>
            </w:r>
          </w:p>
        </w:tc>
        <w:tc>
          <w:tcPr>
            <w:tcW w:type="dxa" w:w="1891"/>
          </w:tcPr>
          <w:p>
            <w:r/>
            <w:r>
              <w:rPr>
                <w:rFonts w:ascii="Calibri" w:hAnsi="Calibri" w:eastAsia="Times New Roman" w:cs="Times New Roman"/>
                <w:sz w:val="19"/>
              </w:rPr>
              <w:t>0.2399</w:t>
            </w:r>
          </w:p>
        </w:tc>
        <w:tc>
          <w:tcPr>
            <w:tcW w:type="dxa" w:w="1891"/>
          </w:tcPr>
          <w:p>
            <w:r/>
            <w:r>
              <w:rPr>
                <w:rFonts w:ascii="Calibri" w:hAnsi="Calibri" w:eastAsia="Times New Roman" w:cs="Times New Roman"/>
                <w:sz w:val="19"/>
              </w:rPr>
              <w:t>0.77</w:t>
            </w:r>
          </w:p>
        </w:tc>
      </w:tr>
      <w:tr>
        <w:tc>
          <w:tcPr>
            <w:tcW w:type="dxa" w:w="1891"/>
          </w:tcPr>
          <w:p>
            <w:r/>
            <w:r>
              <w:rPr>
                <w:rFonts w:ascii="Calibri" w:hAnsi="Calibri" w:eastAsia="Times New Roman" w:cs="Times New Roman"/>
                <w:sz w:val="19"/>
              </w:rPr>
              <w:t>50</w:t>
            </w:r>
          </w:p>
        </w:tc>
        <w:tc>
          <w:tcPr>
            <w:tcW w:type="dxa" w:w="1891"/>
          </w:tcPr>
          <w:p>
            <w:r/>
            <w:r>
              <w:rPr>
                <w:rFonts w:ascii="Calibri" w:hAnsi="Calibri" w:eastAsia="Times New Roman" w:cs="Times New Roman"/>
                <w:sz w:val="19"/>
              </w:rPr>
              <w:t>0.2314</w:t>
            </w:r>
          </w:p>
        </w:tc>
        <w:tc>
          <w:tcPr>
            <w:tcW w:type="dxa" w:w="1891"/>
          </w:tcPr>
          <w:p>
            <w:r/>
            <w:r>
              <w:rPr>
                <w:rFonts w:ascii="Calibri" w:hAnsi="Calibri" w:eastAsia="Times New Roman" w:cs="Times New Roman"/>
                <w:sz w:val="19"/>
              </w:rPr>
              <w:t>0.2929</w:t>
            </w:r>
          </w:p>
        </w:tc>
        <w:tc>
          <w:tcPr>
            <w:tcW w:type="dxa" w:w="1891"/>
          </w:tcPr>
          <w:p>
            <w:r/>
            <w:r>
              <w:rPr>
                <w:rFonts w:ascii="Calibri" w:hAnsi="Calibri" w:eastAsia="Times New Roman" w:cs="Times New Roman"/>
                <w:sz w:val="19"/>
              </w:rPr>
              <w:t>1.00</w:t>
            </w:r>
          </w:p>
        </w:tc>
        <w:tc>
          <w:tcPr>
            <w:tcW w:type="dxa" w:w="1891"/>
          </w:tcPr>
          <w:p>
            <w:r/>
            <w:r>
              <w:rPr>
                <w:rFonts w:ascii="Calibri" w:hAnsi="Calibri" w:eastAsia="Times New Roman" w:cs="Times New Roman"/>
                <w:sz w:val="19"/>
              </w:rPr>
              <w:t>0.2224</w:t>
            </w:r>
          </w:p>
        </w:tc>
        <w:tc>
          <w:tcPr>
            <w:tcW w:type="dxa" w:w="1891"/>
          </w:tcPr>
          <w:p>
            <w:r/>
            <w:r>
              <w:rPr>
                <w:rFonts w:ascii="Calibri" w:hAnsi="Calibri" w:eastAsia="Times New Roman" w:cs="Times New Roman"/>
                <w:sz w:val="19"/>
              </w:rPr>
              <w:t>0.2493</w:t>
            </w:r>
          </w:p>
        </w:tc>
        <w:tc>
          <w:tcPr>
            <w:tcW w:type="dxa" w:w="1891"/>
          </w:tcPr>
          <w:p>
            <w:r/>
            <w:r>
              <w:rPr>
                <w:rFonts w:ascii="Calibri" w:hAnsi="Calibri" w:eastAsia="Times New Roman" w:cs="Times New Roman"/>
                <w:sz w:val="19"/>
              </w:rPr>
              <w:t>0.83</w:t>
            </w:r>
          </w:p>
        </w:tc>
      </w:tr>
      <w:tr>
        <w:tc>
          <w:tcPr>
            <w:tcW w:type="dxa" w:w="1891"/>
          </w:tcPr>
          <w:p>
            <w:r/>
            <w:r>
              <w:rPr>
                <w:rFonts w:ascii="Calibri" w:hAnsi="Calibri" w:eastAsia="Times New Roman" w:cs="Times New Roman"/>
                <w:sz w:val="19"/>
              </w:rPr>
              <w:t>100</w:t>
            </w:r>
          </w:p>
        </w:tc>
        <w:tc>
          <w:tcPr>
            <w:tcW w:type="dxa" w:w="1891"/>
          </w:tcPr>
          <w:p>
            <w:r/>
            <w:r>
              <w:rPr>
                <w:rFonts w:ascii="Calibri" w:hAnsi="Calibri" w:eastAsia="Times New Roman" w:cs="Times New Roman"/>
                <w:sz w:val="19"/>
              </w:rPr>
              <w:t>0.2416</w:t>
            </w:r>
          </w:p>
        </w:tc>
        <w:tc>
          <w:tcPr>
            <w:tcW w:type="dxa" w:w="1891"/>
          </w:tcPr>
          <w:p>
            <w:r/>
            <w:r>
              <w:rPr>
                <w:rFonts w:ascii="Calibri" w:hAnsi="Calibri" w:eastAsia="Times New Roman" w:cs="Times New Roman"/>
                <w:sz w:val="19"/>
              </w:rPr>
              <w:t>0.3099</w:t>
            </w:r>
          </w:p>
        </w:tc>
        <w:tc>
          <w:tcPr>
            <w:tcW w:type="dxa" w:w="1891"/>
          </w:tcPr>
          <w:p>
            <w:r/>
            <w:r>
              <w:rPr>
                <w:rFonts w:ascii="Calibri" w:hAnsi="Calibri" w:eastAsia="Times New Roman" w:cs="Times New Roman"/>
                <w:sz w:val="19"/>
              </w:rPr>
              <w:t>1.00</w:t>
            </w:r>
          </w:p>
        </w:tc>
        <w:tc>
          <w:tcPr>
            <w:tcW w:type="dxa" w:w="1891"/>
          </w:tcPr>
          <w:p>
            <w:r/>
            <w:r>
              <w:rPr>
                <w:rFonts w:ascii="Calibri" w:hAnsi="Calibri" w:eastAsia="Times New Roman" w:cs="Times New Roman"/>
                <w:sz w:val="19"/>
              </w:rPr>
              <w:t>0.2208</w:t>
            </w:r>
          </w:p>
        </w:tc>
        <w:tc>
          <w:tcPr>
            <w:tcW w:type="dxa" w:w="1891"/>
          </w:tcPr>
          <w:p>
            <w:r/>
            <w:r>
              <w:rPr>
                <w:rFonts w:ascii="Calibri" w:hAnsi="Calibri" w:eastAsia="Times New Roman" w:cs="Times New Roman"/>
                <w:sz w:val="19"/>
              </w:rPr>
              <w:t>0.2654</w:t>
            </w:r>
          </w:p>
        </w:tc>
        <w:tc>
          <w:tcPr>
            <w:tcW w:type="dxa" w:w="1891"/>
          </w:tcPr>
          <w:p>
            <w:r/>
            <w:r>
              <w:rPr>
                <w:rFonts w:ascii="Calibri" w:hAnsi="Calibri" w:eastAsia="Times New Roman" w:cs="Times New Roman"/>
                <w:sz w:val="19"/>
              </w:rPr>
              <w:t>0.97</w:t>
            </w:r>
          </w:p>
        </w:tc>
      </w:tr>
      <w:tr>
        <w:tc>
          <w:tcPr>
            <w:tcW w:type="dxa" w:w="1891"/>
          </w:tcPr>
          <w:p>
            <w:r/>
            <w:r>
              <w:rPr>
                <w:rFonts w:ascii="Calibri" w:hAnsi="Calibri" w:eastAsia="Times New Roman" w:cs="Times New Roman"/>
                <w:sz w:val="19"/>
              </w:rPr>
              <w:t>250</w:t>
            </w:r>
          </w:p>
        </w:tc>
        <w:tc>
          <w:tcPr>
            <w:tcW w:type="dxa" w:w="1891"/>
          </w:tcPr>
          <w:p>
            <w:r/>
            <w:r>
              <w:rPr>
                <w:rFonts w:ascii="Calibri" w:hAnsi="Calibri" w:eastAsia="Times New Roman" w:cs="Times New Roman"/>
                <w:sz w:val="19"/>
              </w:rPr>
              <w:t>0.2496</w:t>
            </w:r>
          </w:p>
        </w:tc>
        <w:tc>
          <w:tcPr>
            <w:tcW w:type="dxa" w:w="1891"/>
          </w:tcPr>
          <w:p>
            <w:r/>
            <w:r>
              <w:rPr>
                <w:rFonts w:ascii="Calibri" w:hAnsi="Calibri" w:eastAsia="Times New Roman" w:cs="Times New Roman"/>
                <w:sz w:val="19"/>
              </w:rPr>
              <w:t>0.3269</w:t>
            </w:r>
          </w:p>
        </w:tc>
        <w:tc>
          <w:tcPr>
            <w:tcW w:type="dxa" w:w="1891"/>
          </w:tcPr>
          <w:p>
            <w:r/>
            <w:r>
              <w:rPr>
                <w:rFonts w:ascii="Calibri" w:hAnsi="Calibri" w:eastAsia="Times New Roman" w:cs="Times New Roman"/>
                <w:sz w:val="19"/>
              </w:rPr>
              <w:t>1.00</w:t>
            </w:r>
          </w:p>
        </w:tc>
        <w:tc>
          <w:tcPr>
            <w:tcW w:type="dxa" w:w="1891"/>
          </w:tcPr>
          <w:p>
            <w:r/>
            <w:r>
              <w:rPr>
                <w:rFonts w:ascii="Calibri" w:hAnsi="Calibri" w:eastAsia="Times New Roman" w:cs="Times New Roman"/>
                <w:sz w:val="19"/>
              </w:rPr>
              <w:t>0.2213</w:t>
            </w:r>
          </w:p>
        </w:tc>
        <w:tc>
          <w:tcPr>
            <w:tcW w:type="dxa" w:w="1891"/>
          </w:tcPr>
          <w:p>
            <w:r/>
            <w:r>
              <w:rPr>
                <w:rFonts w:ascii="Calibri" w:hAnsi="Calibri" w:eastAsia="Times New Roman" w:cs="Times New Roman"/>
                <w:sz w:val="19"/>
              </w:rPr>
              <w:t>0.2725</w:t>
            </w:r>
          </w:p>
        </w:tc>
        <w:tc>
          <w:tcPr>
            <w:tcW w:type="dxa" w:w="1891"/>
          </w:tcPr>
          <w:p>
            <w:r/>
            <w:r>
              <w:rPr>
                <w:rFonts w:ascii="Calibri" w:hAnsi="Calibri" w:eastAsia="Times New Roman" w:cs="Times New Roman"/>
                <w:sz w:val="19"/>
              </w:rPr>
              <w:t>1.00</w:t>
            </w:r>
          </w:p>
        </w:tc>
      </w:tr>
      <w:tr>
        <w:tc>
          <w:tcPr>
            <w:tcW w:type="dxa" w:w="1891"/>
          </w:tcPr>
          <w:p>
            <w:r/>
            <w:r>
              <w:rPr>
                <w:rFonts w:ascii="Calibri" w:hAnsi="Calibri" w:eastAsia="Times New Roman" w:cs="Times New Roman"/>
                <w:sz w:val="19"/>
              </w:rPr>
              <w:t>500</w:t>
            </w:r>
          </w:p>
        </w:tc>
        <w:tc>
          <w:tcPr>
            <w:tcW w:type="dxa" w:w="1891"/>
          </w:tcPr>
          <w:p>
            <w:r/>
            <w:r>
              <w:rPr>
                <w:rFonts w:ascii="Calibri" w:hAnsi="Calibri" w:eastAsia="Times New Roman" w:cs="Times New Roman"/>
                <w:sz w:val="19"/>
              </w:rPr>
              <w:t>0.2536</w:t>
            </w:r>
          </w:p>
        </w:tc>
        <w:tc>
          <w:tcPr>
            <w:tcW w:type="dxa" w:w="1891"/>
          </w:tcPr>
          <w:p>
            <w:r/>
            <w:r>
              <w:rPr>
                <w:rFonts w:ascii="Calibri" w:hAnsi="Calibri" w:eastAsia="Times New Roman" w:cs="Times New Roman"/>
                <w:sz w:val="19"/>
              </w:rPr>
              <w:t>0.3380</w:t>
            </w:r>
          </w:p>
        </w:tc>
        <w:tc>
          <w:tcPr>
            <w:tcW w:type="dxa" w:w="1891"/>
          </w:tcPr>
          <w:p>
            <w:r/>
            <w:r>
              <w:rPr>
                <w:rFonts w:ascii="Calibri" w:hAnsi="Calibri" w:eastAsia="Times New Roman" w:cs="Times New Roman"/>
                <w:sz w:val="19"/>
              </w:rPr>
              <w:t>1.00</w:t>
            </w:r>
          </w:p>
        </w:tc>
        <w:tc>
          <w:tcPr>
            <w:tcW w:type="dxa" w:w="1891"/>
          </w:tcPr>
          <w:p>
            <w:r/>
            <w:r>
              <w:rPr>
                <w:rFonts w:ascii="Calibri" w:hAnsi="Calibri" w:eastAsia="Times New Roman" w:cs="Times New Roman"/>
                <w:sz w:val="19"/>
              </w:rPr>
              <w:t>0.2209</w:t>
            </w:r>
          </w:p>
        </w:tc>
        <w:tc>
          <w:tcPr>
            <w:tcW w:type="dxa" w:w="1891"/>
          </w:tcPr>
          <w:p>
            <w:r/>
            <w:r>
              <w:rPr>
                <w:rFonts w:ascii="Calibri" w:hAnsi="Calibri" w:eastAsia="Times New Roman" w:cs="Times New Roman"/>
                <w:sz w:val="19"/>
              </w:rPr>
              <w:t>0.2779</w:t>
            </w:r>
          </w:p>
        </w:tc>
        <w:tc>
          <w:tcPr>
            <w:tcW w:type="dxa" w:w="1891"/>
          </w:tcPr>
          <w:p>
            <w:r/>
            <w:r>
              <w:rPr>
                <w:rFonts w:ascii="Calibri" w:hAnsi="Calibri" w:eastAsia="Times New Roman" w:cs="Times New Roman"/>
                <w:sz w:val="19"/>
              </w:rPr>
              <w:t>1.00</w:t>
            </w:r>
          </w:p>
        </w:tc>
      </w:tr>
      <w:tr>
        <w:tc>
          <w:tcPr>
            <w:tcW w:type="dxa" w:w="1891"/>
          </w:tcPr>
          <w:p>
            <w:r/>
            <w:r>
              <w:rPr>
                <w:rFonts w:ascii="Calibri" w:hAnsi="Calibri" w:eastAsia="Times New Roman" w:cs="Times New Roman"/>
                <w:sz w:val="19"/>
              </w:rPr>
              <w:t>Full</w:t>
            </w:r>
          </w:p>
        </w:tc>
        <w:tc>
          <w:tcPr>
            <w:tcW w:type="dxa" w:w="1891"/>
          </w:tcPr>
          <w:p>
            <w:r/>
            <w:r>
              <w:rPr>
                <w:rFonts w:ascii="Calibri" w:hAnsi="Calibri" w:eastAsia="Times New Roman" w:cs="Times New Roman"/>
                <w:sz w:val="19"/>
              </w:rPr>
              <w:t>0.2610</w:t>
            </w:r>
          </w:p>
        </w:tc>
        <w:tc>
          <w:tcPr>
            <w:tcW w:type="dxa" w:w="1891"/>
          </w:tcPr>
          <w:p>
            <w:r/>
            <w:r>
              <w:rPr>
                <w:rFonts w:ascii="Calibri" w:hAnsi="Calibri" w:eastAsia="Times New Roman" w:cs="Times New Roman"/>
                <w:sz w:val="19"/>
              </w:rPr>
              <w:t>0.3629</w:t>
            </w:r>
          </w:p>
        </w:tc>
        <w:tc>
          <w:tcPr>
            <w:tcW w:type="dxa" w:w="1891"/>
          </w:tcPr>
          <w:p>
            <w:r/>
            <w:r>
              <w:rPr>
                <w:rFonts w:ascii="Calibri" w:hAnsi="Calibri" w:eastAsia="Times New Roman" w:cs="Times New Roman"/>
                <w:sz w:val="19"/>
              </w:rPr>
              <w:t>—</w:t>
            </w:r>
          </w:p>
        </w:tc>
        <w:tc>
          <w:tcPr>
            <w:tcW w:type="dxa" w:w="1891"/>
          </w:tcPr>
          <w:p>
            <w:r/>
            <w:r>
              <w:rPr>
                <w:rFonts w:ascii="Calibri" w:hAnsi="Calibri" w:eastAsia="Times New Roman" w:cs="Times New Roman"/>
                <w:sz w:val="19"/>
              </w:rPr>
              <w:t>0.2170</w:t>
            </w:r>
          </w:p>
        </w:tc>
        <w:tc>
          <w:tcPr>
            <w:tcW w:type="dxa" w:w="1891"/>
          </w:tcPr>
          <w:p>
            <w:r/>
            <w:r>
              <w:rPr>
                <w:rFonts w:ascii="Calibri" w:hAnsi="Calibri" w:eastAsia="Times New Roman" w:cs="Times New Roman"/>
                <w:sz w:val="19"/>
              </w:rPr>
              <w:t>0.2918</w:t>
            </w:r>
          </w:p>
        </w:tc>
        <w:tc>
          <w:tcPr>
            <w:tcW w:type="dxa" w:w="1891"/>
          </w:tcPr>
          <w:p>
            <w:r/>
            <w:r>
              <w:rPr>
                <w:rFonts w:ascii="Calibri" w:hAnsi="Calibri" w:eastAsia="Times New Roman" w:cs="Times New Roman"/>
                <w:sz w:val="19"/>
              </w:rPr>
              <w:t>—</w:t>
            </w:r>
          </w:p>
        </w:tc>
      </w:tr>
    </w:tbl>
    <w:p/>
    <w:p>
      <w:pPr>
        <w:spacing w:after="120"/>
      </w:pPr>
      <w:r>
        <w:rPr>
          <w:rFonts w:ascii="Calibri" w:hAnsi="Calibri" w:eastAsia="Times New Roman" w:cs="Times New Roman"/>
          <w:sz w:val="21"/>
        </w:rPr>
        <w:t xml:space="preserve">The </w:t>
      </w:r>
      <w:r>
        <w:rPr>
          <w:rFonts w:ascii="Calibri" w:hAnsi="Calibri" w:eastAsia="Times New Roman" w:cs="Times New Roman"/>
          <w:b/>
          <w:sz w:val="21"/>
        </w:rPr>
        <w:t>relative</w:t>
      </w:r>
      <w:r>
        <w:rPr>
          <w:rFonts w:ascii="Calibri" w:hAnsi="Calibri" w:eastAsia="Times New Roman" w:cs="Times New Roman"/>
          <w:sz w:val="21"/>
        </w:rPr>
        <w:t xml:space="preserve"> gain stays stable at +29% ~ +33% across all sample-size brackets, and the absolute gain even rises monotonically with sample size (Junyi from +0.0509 to +0.0844). Therefore fusion provides </w:t>
      </w:r>
      <w:r>
        <w:rPr>
          <w:rFonts w:ascii="Calibri" w:hAnsi="Calibri" w:eastAsia="Times New Roman" w:cs="Times New Roman"/>
          <w:b/>
          <w:sz w:val="21"/>
        </w:rPr>
        <w:t>complementary information</w:t>
      </w:r>
      <w:r>
        <w:rPr>
          <w:rFonts w:ascii="Calibri" w:hAnsi="Calibri" w:eastAsia="Times New Roman" w:cs="Times New Roman"/>
          <w:sz w:val="21"/>
        </w:rPr>
        <w:t>, not merely variance reduction—a judgement that §7 will qualify but not overturn: complementarity is real, it is just that what it complements is "the construct contained in expert labels," not necessarily "the construct contained in student performance."</w:t>
      </w:r>
    </w:p>
    <w:p>
      <w:pPr>
        <w:spacing w:after="120"/>
      </w:pPr>
      <w:r>
        <w:rPr>
          <w:rFonts w:ascii="Calibri" w:hAnsi="Calibri" w:eastAsia="Times New Roman" w:cs="Times New Roman"/>
          <w:b/>
          <w:sz w:val="21"/>
        </w:rPr>
        <w:t>Correction record (honest archive):</w:t>
      </w:r>
      <w:r>
        <w:rPr>
          <w:rFonts w:ascii="Calibri" w:hAnsi="Calibri" w:eastAsia="Times New Roman" w:cs="Times New Roman"/>
          <w:sz w:val="21"/>
        </w:rPr>
        <w:t xml:space="preserve"> DBE's first-version sample-efficiency result was inflated (k = 500 gave 0.2485, exceeding the full 0.2170). The cause was that among 212 items, 13 had response count n &lt; K = 500, the reservoir tail had zero-padding slots, and global permutation then truncation counted the zero-padding as 0 in the sum. After changing to "sort the invalid slots' keys to +∞ and push them to the queue tail" for fetching, the table above shows the corrected values.</w:t>
      </w:r>
    </w:p>
    <w:p>
      <w:pPr>
        <w:pStyle w:val="Heading2"/>
        <w:spacing w:before="120" w:after="80"/>
      </w:pPr>
      <w:r>
        <w:rPr>
          <w:rFonts w:ascii="Calibri" w:hAnsi="Calibri" w:eastAsia="Times New Roman" w:cs="Times New Roman"/>
          <w:sz w:val="27"/>
        </w:rPr>
        <w:t>6.5 O6b: statistical robustness (bootstrap 2000 and repeated cross-validation)</w:t>
      </w:r>
    </w:p>
    <w:p>
      <w:pPr>
        <w:spacing w:after="120"/>
      </w:pPr>
      <w:r>
        <w:rPr>
          <w:rFonts w:ascii="Calibri" w:hAnsi="Calibri" w:eastAsia="Times New Roman" w:cs="Times New Roman"/>
          <w:b/>
          <w:sz w:val="21"/>
        </w:rPr>
        <w:t>Table 19. O6b: statistical robustness (bootstrap 2000 and repeated cross-validation)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Quantity</w:t>
            </w:r>
          </w:p>
        </w:tc>
        <w:tc>
          <w:tcPr>
            <w:tcW w:type="dxa" w:w="4413"/>
            <w:shd w:val="clear" w:color="auto" w:fill="DDDDDD"/>
          </w:tcPr>
          <w:p>
            <w:r>
              <w:rPr>
                <w:b/>
              </w:rPr>
            </w:r>
            <w:r>
              <w:rPr>
                <w:rFonts w:ascii="Calibri" w:hAnsi="Calibri" w:eastAsia="Times New Roman" w:cs="Times New Roman"/>
                <w:b/>
                <w:sz w:val="19"/>
              </w:rPr>
              <w:t>Junyi</w:t>
            </w:r>
          </w:p>
        </w:tc>
        <w:tc>
          <w:tcPr>
            <w:tcW w:type="dxa" w:w="4413"/>
            <w:shd w:val="clear" w:color="auto" w:fill="DDDDDD"/>
          </w:tcPr>
          <w:p>
            <w:r>
              <w:rPr>
                <w:b/>
              </w:rPr>
            </w:r>
            <w:r>
              <w:rPr>
                <w:rFonts w:ascii="Calibri" w:hAnsi="Calibri" w:eastAsia="Times New Roman" w:cs="Times New Roman"/>
                <w:b/>
                <w:sz w:val="19"/>
              </w:rPr>
              <w:t>DBE</w:t>
            </w:r>
          </w:p>
        </w:tc>
      </w:tr>
      <w:tr>
        <w:tc>
          <w:tcPr>
            <w:tcW w:type="dxa" w:w="4413"/>
          </w:tcPr>
          <w:p>
            <w:r/>
            <w:r>
              <w:rPr>
                <w:rFonts w:ascii="Calibri" w:hAnsi="Calibri" w:eastAsia="Times New Roman" w:cs="Times New Roman"/>
                <w:sz w:val="19"/>
              </w:rPr>
              <w:t>Success-only ρ [95% CI]</w:t>
            </w:r>
          </w:p>
        </w:tc>
        <w:tc>
          <w:tcPr>
            <w:tcW w:type="dxa" w:w="4413"/>
          </w:tcPr>
          <w:p>
            <w:r/>
            <w:r>
              <w:rPr>
                <w:rFonts w:ascii="Calibri" w:hAnsi="Calibri" w:eastAsia="Times New Roman" w:cs="Times New Roman"/>
                <w:sz w:val="19"/>
              </w:rPr>
              <w:t>0.2606 [0.2112, 0.3101]</w:t>
            </w:r>
          </w:p>
        </w:tc>
        <w:tc>
          <w:tcPr>
            <w:tcW w:type="dxa" w:w="4413"/>
          </w:tcPr>
          <w:p>
            <w:r/>
            <w:r>
              <w:rPr>
                <w:rFonts w:ascii="Calibri" w:hAnsi="Calibri" w:eastAsia="Times New Roman" w:cs="Times New Roman"/>
                <w:sz w:val="19"/>
              </w:rPr>
              <w:t>0.2167 [0.0809, 0.3476]</w:t>
            </w:r>
          </w:p>
        </w:tc>
      </w:tr>
      <w:tr>
        <w:tc>
          <w:tcPr>
            <w:tcW w:type="dxa" w:w="4413"/>
          </w:tcPr>
          <w:p>
            <w:r/>
            <w:r>
              <w:rPr>
                <w:rFonts w:ascii="Calibri" w:hAnsi="Calibri" w:eastAsia="Times New Roman" w:cs="Times New Roman"/>
                <w:sz w:val="19"/>
              </w:rPr>
              <w:t>Equal-weight fusion ρ [95% CI]</w:t>
            </w:r>
          </w:p>
        </w:tc>
        <w:tc>
          <w:tcPr>
            <w:tcW w:type="dxa" w:w="4413"/>
          </w:tcPr>
          <w:p>
            <w:r/>
            <w:r>
              <w:rPr>
                <w:rFonts w:ascii="Calibri" w:hAnsi="Calibri" w:eastAsia="Times New Roman" w:cs="Times New Roman"/>
                <w:sz w:val="19"/>
              </w:rPr>
              <w:t>0.3623 [0.3149, 0.4094]</w:t>
            </w:r>
          </w:p>
        </w:tc>
        <w:tc>
          <w:tcPr>
            <w:tcW w:type="dxa" w:w="4413"/>
          </w:tcPr>
          <w:p>
            <w:r/>
            <w:r>
              <w:rPr>
                <w:rFonts w:ascii="Calibri" w:hAnsi="Calibri" w:eastAsia="Times New Roman" w:cs="Times New Roman"/>
                <w:sz w:val="19"/>
              </w:rPr>
              <w:t>0.2890 [0.1563, 0.4127]</w:t>
            </w:r>
          </w:p>
        </w:tc>
      </w:tr>
      <w:tr>
        <w:tc>
          <w:tcPr>
            <w:tcW w:type="dxa" w:w="4413"/>
          </w:tcPr>
          <w:p>
            <w:r/>
            <w:r>
              <w:rPr>
                <w:rFonts w:ascii="Calibri" w:hAnsi="Calibri" w:eastAsia="Times New Roman" w:cs="Times New Roman"/>
                <w:sz w:val="19"/>
              </w:rPr>
              <w:t>Paired difference Δ [95% CI]</w:t>
            </w:r>
          </w:p>
        </w:tc>
        <w:tc>
          <w:tcPr>
            <w:tcW w:type="dxa" w:w="4413"/>
          </w:tcPr>
          <w:p>
            <w:r/>
            <w:r>
              <w:rPr>
                <w:rFonts w:ascii="Calibri" w:hAnsi="Calibri" w:eastAsia="Times New Roman" w:cs="Times New Roman"/>
                <w:b/>
                <w:sz w:val="19"/>
              </w:rPr>
              <w:t>+0.1017 [0.0726, 0.1325]</w:t>
            </w:r>
          </w:p>
        </w:tc>
        <w:tc>
          <w:tcPr>
            <w:tcW w:type="dxa" w:w="4413"/>
          </w:tcPr>
          <w:p>
            <w:r/>
            <w:r>
              <w:rPr>
                <w:rFonts w:ascii="Calibri" w:hAnsi="Calibri" w:eastAsia="Times New Roman" w:cs="Times New Roman"/>
                <w:b/>
                <w:sz w:val="19"/>
              </w:rPr>
              <w:t>+0.0723 [−0.0195, 0.1649]</w:t>
            </w:r>
          </w:p>
        </w:tc>
      </w:tr>
      <w:tr>
        <w:tc>
          <w:tcPr>
            <w:tcW w:type="dxa" w:w="4413"/>
          </w:tcPr>
          <w:p>
            <w:r/>
            <w:r>
              <w:rPr>
                <w:rFonts w:ascii="Calibri" w:hAnsi="Calibri" w:eastAsia="Times New Roman" w:cs="Times New Roman"/>
                <w:sz w:val="19"/>
              </w:rPr>
              <w:t>One-sided p(Δ ≤ 0)</w:t>
            </w:r>
          </w:p>
        </w:tc>
        <w:tc>
          <w:tcPr>
            <w:tcW w:type="dxa" w:w="4413"/>
          </w:tcPr>
          <w:p>
            <w:r/>
            <w:r>
              <w:rPr>
                <w:rFonts w:ascii="Calibri" w:hAnsi="Calibri" w:eastAsia="Times New Roman" w:cs="Times New Roman"/>
                <w:b/>
                <w:sz w:val="19"/>
              </w:rPr>
              <w:t>0.000</w:t>
            </w:r>
          </w:p>
        </w:tc>
        <w:tc>
          <w:tcPr>
            <w:tcW w:type="dxa" w:w="4413"/>
          </w:tcPr>
          <w:p>
            <w:r/>
            <w:r>
              <w:rPr>
                <w:rFonts w:ascii="Calibri" w:hAnsi="Calibri" w:eastAsia="Times New Roman" w:cs="Times New Roman"/>
                <w:b/>
                <w:sz w:val="19"/>
              </w:rPr>
              <w:t>0.059</w:t>
            </w:r>
          </w:p>
        </w:tc>
      </w:tr>
      <w:tr>
        <w:tc>
          <w:tcPr>
            <w:tcW w:type="dxa" w:w="4413"/>
          </w:tcPr>
          <w:p>
            <w:r/>
            <w:r>
              <w:rPr>
                <w:rFonts w:ascii="Calibri" w:hAnsi="Calibri" w:eastAsia="Times New Roman" w:cs="Times New Roman"/>
                <w:sz w:val="19"/>
              </w:rPr>
              <w:t>Three-grade quadratic-weighted Kappa (success-only → fusion)</w:t>
            </w:r>
          </w:p>
        </w:tc>
        <w:tc>
          <w:tcPr>
            <w:tcW w:type="dxa" w:w="4413"/>
          </w:tcPr>
          <w:p>
            <w:r/>
            <w:r>
              <w:rPr>
                <w:rFonts w:ascii="Calibri" w:hAnsi="Calibri" w:eastAsia="Times New Roman" w:cs="Times New Roman"/>
                <w:sz w:val="19"/>
              </w:rPr>
              <w:t>0.1815 → 0.2595</w:t>
            </w:r>
          </w:p>
        </w:tc>
        <w:tc>
          <w:tcPr>
            <w:tcW w:type="dxa" w:w="4413"/>
          </w:tcPr>
          <w:p>
            <w:r/>
            <w:r>
              <w:rPr>
                <w:rFonts w:ascii="Calibri" w:hAnsi="Calibri" w:eastAsia="Times New Roman" w:cs="Times New Roman"/>
                <w:sz w:val="19"/>
              </w:rPr>
              <w:t>0.1778 → 0.2370</w:t>
            </w:r>
          </w:p>
        </w:tc>
      </w:tr>
      <w:tr>
        <w:tc>
          <w:tcPr>
            <w:tcW w:type="dxa" w:w="4413"/>
          </w:tcPr>
          <w:p>
            <w:r/>
            <w:r>
              <w:rPr>
                <w:rFonts w:ascii="Calibri" w:hAnsi="Calibri" w:eastAsia="Times New Roman" w:cs="Times New Roman"/>
                <w:sz w:val="19"/>
              </w:rPr>
              <w:t>Repeated 5-fold ×10 (50 folds) optimised-weight ρ</w:t>
            </w:r>
          </w:p>
        </w:tc>
        <w:tc>
          <w:tcPr>
            <w:tcW w:type="dxa" w:w="4413"/>
          </w:tcPr>
          <w:p>
            <w:r/>
            <w:r>
              <w:rPr>
                <w:rFonts w:ascii="Calibri" w:hAnsi="Calibri" w:eastAsia="Times New Roman" w:cs="Times New Roman"/>
                <w:b/>
                <w:sz w:val="19"/>
              </w:rPr>
              <w:t>0.4023 ± 0.0480</w:t>
            </w:r>
          </w:p>
        </w:tc>
        <w:tc>
          <w:tcPr>
            <w:tcW w:type="dxa" w:w="4413"/>
          </w:tcPr>
          <w:p>
            <w:r/>
            <w:r>
              <w:rPr>
                <w:rFonts w:ascii="Calibri" w:hAnsi="Calibri" w:eastAsia="Times New Roman" w:cs="Times New Roman"/>
                <w:b/>
                <w:sz w:val="19"/>
              </w:rPr>
              <w:t>0.5240 ± 0.1069</w:t>
            </w:r>
          </w:p>
        </w:tc>
      </w:tr>
    </w:tbl>
    <w:p/>
    <w:p>
      <w:pPr>
        <w:spacing w:after="120"/>
      </w:pPr>
      <w:r>
        <w:rPr>
          <w:rFonts w:ascii="Calibri" w:hAnsi="Calibri" w:eastAsia="Times New Roman" w:cs="Times New Roman"/>
          <w:sz w:val="21"/>
        </w:rPr>
        <w:t xml:space="preserve">Two points must be emphasised. First, </w:t>
      </w:r>
      <w:r>
        <w:rPr>
          <w:rFonts w:ascii="Calibri" w:hAnsi="Calibri" w:eastAsia="Times New Roman" w:cs="Times New Roman"/>
          <w:b/>
          <w:sz w:val="21"/>
        </w:rPr>
        <w:t>the fusion gain on DBE is only marginally significant even under the expert-label criterion</w:t>
      </w:r>
      <w:r>
        <w:rPr>
          <w:rFonts w:ascii="Calibri" w:hAnsi="Calibri" w:eastAsia="Times New Roman" w:cs="Times New Roman"/>
          <w:sz w:val="21"/>
        </w:rPr>
        <w:t xml:space="preserve"> (one-sided p = 0.059, CI crosses 0); only Junyi's p = 0.000 constitutes strong evidence. Merging the two datasets' gains without distinguishing significance is embellishment of evidence strength. Second, the absolute level of quadratic-weighted Kappa (0.18 → 0.26) is far below the intuitive "usable" threshold, indicating limited improvement at the three-grade classification level; the improvement mainly occurs at the rank level.</w:t>
      </w:r>
    </w:p>
    <w:p>
      <w:pPr>
        <w:spacing w:after="120"/>
      </w:pPr>
      <w:r>
        <w:rPr>
          <w:rFonts w:ascii="Calibri" w:hAnsi="Calibri" w:eastAsia="Times New Roman" w:cs="Times New Roman"/>
          <w:b/>
          <w:sz w:val="21"/>
        </w:rPr>
        <w:t>Number update (must be observed):</w:t>
      </w:r>
      <w:r>
        <w:rPr>
          <w:rFonts w:ascii="Calibri" w:hAnsi="Calibri" w:eastAsia="Times New Roman" w:cs="Times New Roman"/>
          <w:sz w:val="21"/>
        </w:rPr>
        <w:t xml:space="preserve"> the 0.3837 reported by O5 and the 0.4778 by O4 are both </w:t>
      </w:r>
      <w:r>
        <w:rPr>
          <w:rFonts w:ascii="Calibri" w:hAnsi="Calibri" w:eastAsia="Times New Roman" w:cs="Times New Roman"/>
          <w:b/>
          <w:sz w:val="21"/>
        </w:rPr>
        <w:t>single 5-fold</w:t>
      </w:r>
      <w:r>
        <w:rPr>
          <w:rFonts w:ascii="Calibri" w:hAnsi="Calibri" w:eastAsia="Times New Roman" w:cs="Times New Roman"/>
          <w:sz w:val="21"/>
        </w:rPr>
        <w:t xml:space="preserve"> results; the more stable repeated 5-fold ×10 estimates are Junyi 0.4023 ± 0.0480 and DBE 0.5240 ± 0.1069. Both differ from the old values within one standard deviation (not contradictory), but </w:t>
      </w:r>
      <w:r>
        <w:rPr>
          <w:rFonts w:ascii="Calibri" w:hAnsi="Calibri" w:eastAsia="Times New Roman" w:cs="Times New Roman"/>
          <w:b/>
          <w:sz w:val="21"/>
        </w:rPr>
        <w:t>this paper uniformly prioritises citing the repeated values with standard deviations</w:t>
      </w:r>
      <w:r>
        <w:rPr>
          <w:rFonts w:ascii="Calibri" w:hAnsi="Calibri" w:eastAsia="Times New Roman" w:cs="Times New Roman"/>
          <w:sz w:val="21"/>
        </w:rPr>
        <w:t>; if the old values appear, they must be noted as "single 5-fold."</w:t>
      </w:r>
    </w:p>
    <w:p>
      <w:pPr>
        <w:pStyle w:val="Heading1"/>
        <w:spacing w:before="200" w:after="80"/>
      </w:pPr>
      <w:r>
        <w:rPr>
          <w:rFonts w:ascii="Calibri" w:hAnsi="Calibri" w:eastAsia="Times New Roman" w:cs="Times New Roman"/>
          <w:sz w:val="32"/>
        </w:rPr>
        <w:t>7 Criterion Switch: Holdout Validation, Conclusion Reversal, and a Directional Error</w:t>
      </w:r>
    </w:p>
    <w:p>
      <w:pPr>
        <w:pStyle w:val="Heading2"/>
        <w:spacing w:before="120" w:after="80"/>
      </w:pPr>
      <w:r>
        <w:rPr>
          <w:rFonts w:ascii="Calibri" w:hAnsi="Calibri" w:eastAsia="Times New Roman" w:cs="Times New Roman"/>
          <w:sz w:val="27"/>
        </w:rPr>
        <w:t>7.1 The distance between expert labels and real-performance difficulty</w:t>
      </w:r>
    </w:p>
    <w:p>
      <w:pPr>
        <w:spacing w:after="120"/>
      </w:pPr>
      <w:r>
        <w:rPr>
          <w:rFonts w:ascii="Calibri" w:hAnsi="Calibri" w:eastAsia="Times New Roman" w:cs="Times New Roman"/>
          <w:sz w:val="21"/>
        </w:rPr>
        <w:t xml:space="preserve">The consistency criterion of O4 and O5 is </w:t>
      </w:r>
      <w:r>
        <w:rPr>
          <w:rFonts w:ascii="Calibri" w:hAnsi="Calibri" w:eastAsia="Times New Roman" w:cs="Times New Roman"/>
          <w:b/>
          <w:sz w:val="21"/>
        </w:rPr>
        <w:t>expert difficulty labels</w:t>
      </w:r>
      <w:r>
        <w:rPr>
          <w:rFonts w:ascii="Calibri" w:hAnsi="Calibri" w:eastAsia="Times New Roman" w:cs="Times New Roman"/>
          <w:sz w:val="21"/>
        </w:rPr>
        <w:t>. But what adaptive ranking truly needs is "predicting real student performance." These are not the same construct, and their distance is directly measurable:</w:t>
      </w:r>
    </w:p>
    <w:p>
      <w:pPr>
        <w:spacing w:before="40" w:after="40"/>
        <w:ind w:left="360"/>
        <w:pBdr>
          <w:left w:val="single" w:sz="12" w:space="6" w:color="888888"/>
        </w:pBdr>
      </w:pPr>
      <w:r>
        <w:rPr>
          <w:rFonts w:ascii="Calibri" w:hAnsi="Calibri" w:eastAsia="Times New Roman" w:cs="Times New Roman"/>
          <w:b/>
          <w:i/>
          <w:color w:val="555555"/>
          <w:sz w:val="19"/>
        </w:rPr>
        <w:t>Expert difficulty labels vs. real-performance difficulty (Junyi, ability decile 5, n = 906, ≥500 responses): Spearman ρ = 0.4326 (95% CI [0.38, 0.48], p &lt; 0.001).</w:t>
      </w:r>
    </w:p>
    <w:p>
      <w:pPr>
        <w:spacing w:after="120"/>
      </w:pPr>
      <w:r>
        <w:rPr>
          <w:rFonts w:ascii="Calibri" w:hAnsi="Calibri" w:eastAsia="Times New Roman" w:cs="Times New Roman"/>
          <w:sz w:val="21"/>
        </w:rPr>
        <w:t xml:space="preserve">That is, expert labels explain only about 19% of the rank variance of real-performance difficulty. This is not a criticism of expert annotation—expert annotation measures "how hard the course designer thinks it is," which is itself a different construct from "how hard it actually is for the student." But it means: </w:t>
      </w:r>
      <w:r>
        <w:rPr>
          <w:rFonts w:ascii="Calibri" w:hAnsi="Calibri" w:eastAsia="Times New Roman" w:cs="Times New Roman"/>
          <w:b/>
          <w:sz w:val="21"/>
        </w:rPr>
        <w:t>an estimator's progress in "fitting expert labels" need not translate into progress in "predicting student performance."</w:t>
      </w:r>
      <w:r>
        <w:rPr>
          <w:rFonts w:ascii="Calibri" w:hAnsi="Calibri" w:eastAsia="Times New Roman" w:cs="Times New Roman"/>
          <w:sz w:val="21"/>
        </w:rPr>
        <w:t xml:space="preserve"> Reporting a consistency gain without first measuring this distance would let readers assume the two are the same thing—which we explicitly deny here.</w:t>
      </w:r>
    </w:p>
    <w:p>
      <w:pPr>
        <w:pStyle w:val="Heading2"/>
        <w:spacing w:before="120" w:after="80"/>
      </w:pPr>
      <w:r>
        <w:rPr>
          <w:rFonts w:ascii="Calibri" w:hAnsi="Calibri" w:eastAsia="Times New Roman" w:cs="Times New Roman"/>
          <w:sz w:val="27"/>
        </w:rPr>
        <w:t>7.2 O7: conclusion reversal under holdout validation</w:t>
      </w:r>
    </w:p>
    <w:p>
      <w:pPr>
        <w:spacing w:after="120"/>
      </w:pPr>
      <w:r>
        <w:rPr>
          <w:rFonts w:ascii="Calibri" w:hAnsi="Calibri" w:eastAsia="Times New Roman" w:cs="Times New Roman"/>
          <w:sz w:val="21"/>
        </w:rPr>
        <w:t>The method splits each item's reservoir slots into mutually exclusive block A (for estimation, k slots) and block B (for criterion, 250 slots), so that estimation error and criterion error no longer share samples. After switching the criterion to "real performance on unseen samples":</w:t>
      </w:r>
    </w:p>
    <w:p>
      <w:pPr>
        <w:spacing w:after="120"/>
      </w:pPr>
      <w:r>
        <w:rPr>
          <w:rFonts w:ascii="Calibri" w:hAnsi="Calibri" w:eastAsia="Times New Roman" w:cs="Times New Roman"/>
          <w:b/>
          <w:sz w:val="21"/>
        </w:rPr>
        <w:t>Table 20. O7: conclusion reversal under holdout validation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Times New Roman" w:cs="Times New Roman"/>
                <w:b/>
                <w:sz w:val="19"/>
              </w:rPr>
              <w:t>Dataset</w:t>
            </w:r>
          </w:p>
        </w:tc>
        <w:tc>
          <w:tcPr>
            <w:tcW w:type="dxa" w:w="2207"/>
            <w:shd w:val="clear" w:color="auto" w:fill="DDDDDD"/>
          </w:tcPr>
          <w:p>
            <w:r>
              <w:rPr>
                <w:b/>
              </w:rPr>
            </w:r>
            <w:r>
              <w:rPr>
                <w:rFonts w:ascii="Calibri" w:hAnsi="Calibri" w:eastAsia="Times New Roman" w:cs="Times New Roman"/>
                <w:b/>
                <w:sz w:val="19"/>
              </w:rPr>
              <w:t>k</w:t>
            </w:r>
          </w:p>
        </w:tc>
        <w:tc>
          <w:tcPr>
            <w:tcW w:type="dxa" w:w="2207"/>
            <w:shd w:val="clear" w:color="auto" w:fill="DDDDDD"/>
          </w:tcPr>
          <w:p>
            <w:r>
              <w:rPr>
                <w:b/>
              </w:rPr>
            </w:r>
            <w:r>
              <w:rPr>
                <w:rFonts w:ascii="Calibri" w:hAnsi="Calibri" w:eastAsia="Times New Roman" w:cs="Times New Roman"/>
                <w:b/>
                <w:sz w:val="19"/>
              </w:rPr>
              <w:t>Success-only</w:t>
            </w:r>
          </w:p>
        </w:tc>
        <w:tc>
          <w:tcPr>
            <w:tcW w:type="dxa" w:w="2207"/>
            <w:shd w:val="clear" w:color="auto" w:fill="DDDDDD"/>
          </w:tcPr>
          <w:p>
            <w:r>
              <w:rPr>
                <w:b/>
              </w:rPr>
            </w:r>
            <w:r>
              <w:rPr>
                <w:rFonts w:ascii="Calibri" w:hAnsi="Calibri" w:eastAsia="Times New Roman" w:cs="Times New Roman"/>
                <w:b/>
                <w:sz w:val="19"/>
              </w:rPr>
              <w:t>Equal-weight fusion</w:t>
            </w:r>
          </w:p>
        </w:tc>
        <w:tc>
          <w:tcPr>
            <w:tcW w:type="dxa" w:w="2207"/>
            <w:shd w:val="clear" w:color="auto" w:fill="DDDDDD"/>
          </w:tcPr>
          <w:p>
            <w:r>
              <w:rPr>
                <w:b/>
              </w:rPr>
            </w:r>
            <w:r>
              <w:rPr>
                <w:rFonts w:ascii="Calibri" w:hAnsi="Calibri" w:eastAsia="Times New Roman" w:cs="Times New Roman"/>
                <w:b/>
                <w:sz w:val="19"/>
              </w:rPr>
              <w:t>Difference</w:t>
            </w:r>
          </w:p>
        </w:tc>
        <w:tc>
          <w:tcPr>
            <w:tcW w:type="dxa" w:w="2207"/>
            <w:shd w:val="clear" w:color="auto" w:fill="DDDDDD"/>
          </w:tcPr>
          <w:p>
            <w:r>
              <w:rPr>
                <w:b/>
              </w:rPr>
            </w:r>
            <w:r>
              <w:rPr>
                <w:rFonts w:ascii="Calibri" w:hAnsi="Calibri" w:eastAsia="Times New Roman" w:cs="Times New Roman"/>
                <w:b/>
                <w:sz w:val="19"/>
              </w:rPr>
              <w:t>Fusion win rate</w:t>
            </w:r>
          </w:p>
        </w:tc>
      </w:tr>
      <w:tr>
        <w:tc>
          <w:tcPr>
            <w:tcW w:type="dxa" w:w="2207"/>
          </w:tcPr>
          <w:p>
            <w:r/>
            <w:r>
              <w:rPr>
                <w:rFonts w:ascii="Calibri" w:hAnsi="Calibri" w:eastAsia="Times New Roman" w:cs="Times New Roman"/>
                <w:sz w:val="19"/>
              </w:rPr>
              <w:t>Junyi</w:t>
            </w:r>
          </w:p>
        </w:tc>
        <w:tc>
          <w:tcPr>
            <w:tcW w:type="dxa" w:w="2207"/>
          </w:tcPr>
          <w:p>
            <w:r/>
            <w:r>
              <w:rPr>
                <w:rFonts w:ascii="Calibri" w:hAnsi="Calibri" w:eastAsia="Times New Roman" w:cs="Times New Roman"/>
                <w:sz w:val="19"/>
              </w:rPr>
              <w:t>10</w:t>
            </w:r>
          </w:p>
        </w:tc>
        <w:tc>
          <w:tcPr>
            <w:tcW w:type="dxa" w:w="2207"/>
          </w:tcPr>
          <w:p>
            <w:r/>
            <w:r>
              <w:rPr>
                <w:rFonts w:ascii="Calibri" w:hAnsi="Calibri" w:eastAsia="Times New Roman" w:cs="Times New Roman"/>
                <w:sz w:val="19"/>
              </w:rPr>
              <w:t>0.6677</w:t>
            </w:r>
          </w:p>
        </w:tc>
        <w:tc>
          <w:tcPr>
            <w:tcW w:type="dxa" w:w="2207"/>
          </w:tcPr>
          <w:p>
            <w:r/>
            <w:r>
              <w:rPr>
                <w:rFonts w:ascii="Calibri" w:hAnsi="Calibri" w:eastAsia="Times New Roman" w:cs="Times New Roman"/>
                <w:sz w:val="19"/>
              </w:rPr>
              <w:t>0.6410</w:t>
            </w:r>
          </w:p>
        </w:tc>
        <w:tc>
          <w:tcPr>
            <w:tcW w:type="dxa" w:w="2207"/>
          </w:tcPr>
          <w:p>
            <w:r/>
            <w:r>
              <w:rPr>
                <w:rFonts w:ascii="Calibri" w:hAnsi="Calibri" w:eastAsia="Times New Roman" w:cs="Times New Roman"/>
                <w:sz w:val="19"/>
              </w:rPr>
              <w:t>−0.0267</w:t>
            </w:r>
          </w:p>
        </w:tc>
        <w:tc>
          <w:tcPr>
            <w:tcW w:type="dxa" w:w="2207"/>
          </w:tcPr>
          <w:p>
            <w:r/>
            <w:r>
              <w:rPr>
                <w:rFonts w:ascii="Calibri" w:hAnsi="Calibri" w:eastAsia="Times New Roman" w:cs="Times New Roman"/>
                <w:sz w:val="19"/>
              </w:rPr>
              <w:t>0.00</w:t>
            </w:r>
          </w:p>
        </w:tc>
      </w:tr>
      <w:tr>
        <w:tc>
          <w:tcPr>
            <w:tcW w:type="dxa" w:w="2207"/>
          </w:tcPr>
          <w:p>
            <w:r/>
            <w:r>
              <w:rPr>
                <w:rFonts w:ascii="Calibri" w:hAnsi="Calibri" w:eastAsia="Times New Roman" w:cs="Times New Roman"/>
                <w:sz w:val="19"/>
              </w:rPr>
              <w:t>Junyi</w:t>
            </w:r>
          </w:p>
        </w:tc>
        <w:tc>
          <w:tcPr>
            <w:tcW w:type="dxa" w:w="2207"/>
          </w:tcPr>
          <w:p>
            <w:r/>
            <w:r>
              <w:rPr>
                <w:rFonts w:ascii="Calibri" w:hAnsi="Calibri" w:eastAsia="Times New Roman" w:cs="Times New Roman"/>
                <w:sz w:val="19"/>
              </w:rPr>
              <w:t>25</w:t>
            </w:r>
          </w:p>
        </w:tc>
        <w:tc>
          <w:tcPr>
            <w:tcW w:type="dxa" w:w="2207"/>
          </w:tcPr>
          <w:p>
            <w:r/>
            <w:r>
              <w:rPr>
                <w:rFonts w:ascii="Calibri" w:hAnsi="Calibri" w:eastAsia="Times New Roman" w:cs="Times New Roman"/>
                <w:sz w:val="19"/>
              </w:rPr>
              <w:t>0.8066</w:t>
            </w:r>
          </w:p>
        </w:tc>
        <w:tc>
          <w:tcPr>
            <w:tcW w:type="dxa" w:w="2207"/>
          </w:tcPr>
          <w:p>
            <w:r/>
            <w:r>
              <w:rPr>
                <w:rFonts w:ascii="Calibri" w:hAnsi="Calibri" w:eastAsia="Times New Roman" w:cs="Times New Roman"/>
                <w:sz w:val="19"/>
              </w:rPr>
              <w:t>0.7355</w:t>
            </w:r>
          </w:p>
        </w:tc>
        <w:tc>
          <w:tcPr>
            <w:tcW w:type="dxa" w:w="2207"/>
          </w:tcPr>
          <w:p>
            <w:r/>
            <w:r>
              <w:rPr>
                <w:rFonts w:ascii="Calibri" w:hAnsi="Calibri" w:eastAsia="Times New Roman" w:cs="Times New Roman"/>
                <w:sz w:val="19"/>
              </w:rPr>
              <w:t>−0.0711</w:t>
            </w:r>
          </w:p>
        </w:tc>
        <w:tc>
          <w:tcPr>
            <w:tcW w:type="dxa" w:w="2207"/>
          </w:tcPr>
          <w:p>
            <w:r/>
            <w:r>
              <w:rPr>
                <w:rFonts w:ascii="Calibri" w:hAnsi="Calibri" w:eastAsia="Times New Roman" w:cs="Times New Roman"/>
                <w:sz w:val="19"/>
              </w:rPr>
              <w:t>0.00</w:t>
            </w:r>
          </w:p>
        </w:tc>
      </w:tr>
      <w:tr>
        <w:tc>
          <w:tcPr>
            <w:tcW w:type="dxa" w:w="2207"/>
          </w:tcPr>
          <w:p>
            <w:r/>
            <w:r>
              <w:rPr>
                <w:rFonts w:ascii="Calibri" w:hAnsi="Calibri" w:eastAsia="Times New Roman" w:cs="Times New Roman"/>
                <w:sz w:val="19"/>
              </w:rPr>
              <w:t>Junyi</w:t>
            </w:r>
          </w:p>
        </w:tc>
        <w:tc>
          <w:tcPr>
            <w:tcW w:type="dxa" w:w="2207"/>
          </w:tcPr>
          <w:p>
            <w:r/>
            <w:r>
              <w:rPr>
                <w:rFonts w:ascii="Calibri" w:hAnsi="Calibri" w:eastAsia="Times New Roman" w:cs="Times New Roman"/>
                <w:sz w:val="19"/>
              </w:rPr>
              <w:t>50</w:t>
            </w:r>
          </w:p>
        </w:tc>
        <w:tc>
          <w:tcPr>
            <w:tcW w:type="dxa" w:w="2207"/>
          </w:tcPr>
          <w:p>
            <w:r/>
            <w:r>
              <w:rPr>
                <w:rFonts w:ascii="Calibri" w:hAnsi="Calibri" w:eastAsia="Times New Roman" w:cs="Times New Roman"/>
                <w:sz w:val="19"/>
              </w:rPr>
              <w:t>0.8814</w:t>
            </w:r>
          </w:p>
        </w:tc>
        <w:tc>
          <w:tcPr>
            <w:tcW w:type="dxa" w:w="2207"/>
          </w:tcPr>
          <w:p>
            <w:r/>
            <w:r>
              <w:rPr>
                <w:rFonts w:ascii="Calibri" w:hAnsi="Calibri" w:eastAsia="Times New Roman" w:cs="Times New Roman"/>
                <w:sz w:val="19"/>
              </w:rPr>
              <w:t>0.7850</w:t>
            </w:r>
          </w:p>
        </w:tc>
        <w:tc>
          <w:tcPr>
            <w:tcW w:type="dxa" w:w="2207"/>
          </w:tcPr>
          <w:p>
            <w:r/>
            <w:r>
              <w:rPr>
                <w:rFonts w:ascii="Calibri" w:hAnsi="Calibri" w:eastAsia="Times New Roman" w:cs="Times New Roman"/>
                <w:sz w:val="19"/>
              </w:rPr>
              <w:t>−0.0963</w:t>
            </w:r>
          </w:p>
        </w:tc>
        <w:tc>
          <w:tcPr>
            <w:tcW w:type="dxa" w:w="2207"/>
          </w:tcPr>
          <w:p>
            <w:r/>
            <w:r>
              <w:rPr>
                <w:rFonts w:ascii="Calibri" w:hAnsi="Calibri" w:eastAsia="Times New Roman" w:cs="Times New Roman"/>
                <w:sz w:val="19"/>
              </w:rPr>
              <w:t>0.00</w:t>
            </w:r>
          </w:p>
        </w:tc>
      </w:tr>
      <w:tr>
        <w:tc>
          <w:tcPr>
            <w:tcW w:type="dxa" w:w="2207"/>
          </w:tcPr>
          <w:p>
            <w:r/>
            <w:r>
              <w:rPr>
                <w:rFonts w:ascii="Calibri" w:hAnsi="Calibri" w:eastAsia="Times New Roman" w:cs="Times New Roman"/>
                <w:sz w:val="19"/>
              </w:rPr>
              <w:t>Junyi</w:t>
            </w:r>
          </w:p>
        </w:tc>
        <w:tc>
          <w:tcPr>
            <w:tcW w:type="dxa" w:w="2207"/>
          </w:tcPr>
          <w:p>
            <w:r/>
            <w:r>
              <w:rPr>
                <w:rFonts w:ascii="Calibri" w:hAnsi="Calibri" w:eastAsia="Times New Roman" w:cs="Times New Roman"/>
                <w:sz w:val="19"/>
              </w:rPr>
              <w:t>100</w:t>
            </w:r>
          </w:p>
        </w:tc>
        <w:tc>
          <w:tcPr>
            <w:tcW w:type="dxa" w:w="2207"/>
          </w:tcPr>
          <w:p>
            <w:r/>
            <w:r>
              <w:rPr>
                <w:rFonts w:ascii="Calibri" w:hAnsi="Calibri" w:eastAsia="Times New Roman" w:cs="Times New Roman"/>
                <w:sz w:val="19"/>
              </w:rPr>
              <w:t>0.9251</w:t>
            </w:r>
          </w:p>
        </w:tc>
        <w:tc>
          <w:tcPr>
            <w:tcW w:type="dxa" w:w="2207"/>
          </w:tcPr>
          <w:p>
            <w:r/>
            <w:r>
              <w:rPr>
                <w:rFonts w:ascii="Calibri" w:hAnsi="Calibri" w:eastAsia="Times New Roman" w:cs="Times New Roman"/>
                <w:sz w:val="19"/>
              </w:rPr>
              <w:t>0.8115</w:t>
            </w:r>
          </w:p>
        </w:tc>
        <w:tc>
          <w:tcPr>
            <w:tcW w:type="dxa" w:w="2207"/>
          </w:tcPr>
          <w:p>
            <w:r/>
            <w:r>
              <w:rPr>
                <w:rFonts w:ascii="Calibri" w:hAnsi="Calibri" w:eastAsia="Times New Roman" w:cs="Times New Roman"/>
                <w:sz w:val="19"/>
              </w:rPr>
              <w:t>−0.1136</w:t>
            </w:r>
          </w:p>
        </w:tc>
        <w:tc>
          <w:tcPr>
            <w:tcW w:type="dxa" w:w="2207"/>
          </w:tcPr>
          <w:p>
            <w:r/>
            <w:r>
              <w:rPr>
                <w:rFonts w:ascii="Calibri" w:hAnsi="Calibri" w:eastAsia="Times New Roman" w:cs="Times New Roman"/>
                <w:sz w:val="19"/>
              </w:rPr>
              <w:t>0.00</w:t>
            </w:r>
          </w:p>
        </w:tc>
      </w:tr>
      <w:tr>
        <w:tc>
          <w:tcPr>
            <w:tcW w:type="dxa" w:w="2207"/>
          </w:tcPr>
          <w:p>
            <w:r/>
            <w:r>
              <w:rPr>
                <w:rFonts w:ascii="Calibri" w:hAnsi="Calibri" w:eastAsia="Times New Roman" w:cs="Times New Roman"/>
                <w:sz w:val="19"/>
              </w:rPr>
              <w:t>Junyi</w:t>
            </w:r>
          </w:p>
        </w:tc>
        <w:tc>
          <w:tcPr>
            <w:tcW w:type="dxa" w:w="2207"/>
          </w:tcPr>
          <w:p>
            <w:r/>
            <w:r>
              <w:rPr>
                <w:rFonts w:ascii="Calibri" w:hAnsi="Calibri" w:eastAsia="Times New Roman" w:cs="Times New Roman"/>
                <w:sz w:val="19"/>
              </w:rPr>
              <w:t>200</w:t>
            </w:r>
          </w:p>
        </w:tc>
        <w:tc>
          <w:tcPr>
            <w:tcW w:type="dxa" w:w="2207"/>
          </w:tcPr>
          <w:p>
            <w:r/>
            <w:r>
              <w:rPr>
                <w:rFonts w:ascii="Calibri" w:hAnsi="Calibri" w:eastAsia="Times New Roman" w:cs="Times New Roman"/>
                <w:sz w:val="19"/>
              </w:rPr>
              <w:t>0.9509</w:t>
            </w:r>
          </w:p>
        </w:tc>
        <w:tc>
          <w:tcPr>
            <w:tcW w:type="dxa" w:w="2207"/>
          </w:tcPr>
          <w:p>
            <w:r/>
            <w:r>
              <w:rPr>
                <w:rFonts w:ascii="Calibri" w:hAnsi="Calibri" w:eastAsia="Times New Roman" w:cs="Times New Roman"/>
                <w:sz w:val="19"/>
              </w:rPr>
              <w:t>0.8287</w:t>
            </w:r>
          </w:p>
        </w:tc>
        <w:tc>
          <w:tcPr>
            <w:tcW w:type="dxa" w:w="2207"/>
          </w:tcPr>
          <w:p>
            <w:r/>
            <w:r>
              <w:rPr>
                <w:rFonts w:ascii="Calibri" w:hAnsi="Calibri" w:eastAsia="Times New Roman" w:cs="Times New Roman"/>
                <w:b/>
                <w:sz w:val="19"/>
              </w:rPr>
              <w:t>−0.1222</w:t>
            </w:r>
          </w:p>
        </w:tc>
        <w:tc>
          <w:tcPr>
            <w:tcW w:type="dxa" w:w="2207"/>
          </w:tcPr>
          <w:p>
            <w:r/>
            <w:r>
              <w:rPr>
                <w:rFonts w:ascii="Calibri" w:hAnsi="Calibri" w:eastAsia="Times New Roman" w:cs="Times New Roman"/>
                <w:sz w:val="19"/>
              </w:rPr>
              <w:t>0.00</w:t>
            </w:r>
          </w:p>
        </w:tc>
      </w:tr>
      <w:tr>
        <w:tc>
          <w:tcPr>
            <w:tcW w:type="dxa" w:w="2207"/>
          </w:tcPr>
          <w:p>
            <w:r/>
            <w:r>
              <w:rPr>
                <w:rFonts w:ascii="Calibri" w:hAnsi="Calibri" w:eastAsia="Times New Roman" w:cs="Times New Roman"/>
                <w:sz w:val="19"/>
              </w:rPr>
              <w:t>DBE</w:t>
            </w:r>
          </w:p>
        </w:tc>
        <w:tc>
          <w:tcPr>
            <w:tcW w:type="dxa" w:w="2207"/>
          </w:tcPr>
          <w:p>
            <w:r/>
            <w:r>
              <w:rPr>
                <w:rFonts w:ascii="Calibri" w:hAnsi="Calibri" w:eastAsia="Times New Roman" w:cs="Times New Roman"/>
                <w:sz w:val="19"/>
              </w:rPr>
              <w:t>10</w:t>
            </w:r>
          </w:p>
        </w:tc>
        <w:tc>
          <w:tcPr>
            <w:tcW w:type="dxa" w:w="2207"/>
          </w:tcPr>
          <w:p>
            <w:r/>
            <w:r>
              <w:rPr>
                <w:rFonts w:ascii="Calibri" w:hAnsi="Calibri" w:eastAsia="Times New Roman" w:cs="Times New Roman"/>
                <w:sz w:val="19"/>
              </w:rPr>
              <w:t>0.8083</w:t>
            </w:r>
          </w:p>
        </w:tc>
        <w:tc>
          <w:tcPr>
            <w:tcW w:type="dxa" w:w="2207"/>
          </w:tcPr>
          <w:p>
            <w:r/>
            <w:r>
              <w:rPr>
                <w:rFonts w:ascii="Calibri" w:hAnsi="Calibri" w:eastAsia="Times New Roman" w:cs="Times New Roman"/>
                <w:sz w:val="19"/>
              </w:rPr>
              <w:t>0.6331</w:t>
            </w:r>
          </w:p>
        </w:tc>
        <w:tc>
          <w:tcPr>
            <w:tcW w:type="dxa" w:w="2207"/>
          </w:tcPr>
          <w:p>
            <w:r/>
            <w:r>
              <w:rPr>
                <w:rFonts w:ascii="Calibri" w:hAnsi="Calibri" w:eastAsia="Times New Roman" w:cs="Times New Roman"/>
                <w:sz w:val="19"/>
              </w:rPr>
              <w:t>−0.1752</w:t>
            </w:r>
          </w:p>
        </w:tc>
        <w:tc>
          <w:tcPr>
            <w:tcW w:type="dxa" w:w="2207"/>
          </w:tcPr>
          <w:p>
            <w:r/>
            <w:r>
              <w:rPr>
                <w:rFonts w:ascii="Calibri" w:hAnsi="Calibri" w:eastAsia="Times New Roman" w:cs="Times New Roman"/>
                <w:sz w:val="19"/>
              </w:rPr>
              <w:t>0.00</w:t>
            </w:r>
          </w:p>
        </w:tc>
      </w:tr>
      <w:tr>
        <w:tc>
          <w:tcPr>
            <w:tcW w:type="dxa" w:w="2207"/>
          </w:tcPr>
          <w:p>
            <w:r/>
            <w:r>
              <w:rPr>
                <w:rFonts w:ascii="Calibri" w:hAnsi="Calibri" w:eastAsia="Times New Roman" w:cs="Times New Roman"/>
                <w:sz w:val="19"/>
              </w:rPr>
              <w:t>DBE</w:t>
            </w:r>
          </w:p>
        </w:tc>
        <w:tc>
          <w:tcPr>
            <w:tcW w:type="dxa" w:w="2207"/>
          </w:tcPr>
          <w:p>
            <w:r/>
            <w:r>
              <w:rPr>
                <w:rFonts w:ascii="Calibri" w:hAnsi="Calibri" w:eastAsia="Times New Roman" w:cs="Times New Roman"/>
                <w:sz w:val="19"/>
              </w:rPr>
              <w:t>25</w:t>
            </w:r>
          </w:p>
        </w:tc>
        <w:tc>
          <w:tcPr>
            <w:tcW w:type="dxa" w:w="2207"/>
          </w:tcPr>
          <w:p>
            <w:r/>
            <w:r>
              <w:rPr>
                <w:rFonts w:ascii="Calibri" w:hAnsi="Calibri" w:eastAsia="Times New Roman" w:cs="Times New Roman"/>
                <w:sz w:val="19"/>
              </w:rPr>
              <w:t>0.9036</w:t>
            </w:r>
          </w:p>
        </w:tc>
        <w:tc>
          <w:tcPr>
            <w:tcW w:type="dxa" w:w="2207"/>
          </w:tcPr>
          <w:p>
            <w:r/>
            <w:r>
              <w:rPr>
                <w:rFonts w:ascii="Calibri" w:hAnsi="Calibri" w:eastAsia="Times New Roman" w:cs="Times New Roman"/>
                <w:sz w:val="19"/>
              </w:rPr>
              <w:t>0.6982</w:t>
            </w:r>
          </w:p>
        </w:tc>
        <w:tc>
          <w:tcPr>
            <w:tcW w:type="dxa" w:w="2207"/>
          </w:tcPr>
          <w:p>
            <w:r/>
            <w:r>
              <w:rPr>
                <w:rFonts w:ascii="Calibri" w:hAnsi="Calibri" w:eastAsia="Times New Roman" w:cs="Times New Roman"/>
                <w:sz w:val="19"/>
              </w:rPr>
              <w:t>−0.2054</w:t>
            </w:r>
          </w:p>
        </w:tc>
        <w:tc>
          <w:tcPr>
            <w:tcW w:type="dxa" w:w="2207"/>
          </w:tcPr>
          <w:p>
            <w:r/>
            <w:r>
              <w:rPr>
                <w:rFonts w:ascii="Calibri" w:hAnsi="Calibri" w:eastAsia="Times New Roman" w:cs="Times New Roman"/>
                <w:sz w:val="19"/>
              </w:rPr>
              <w:t>0.00</w:t>
            </w:r>
          </w:p>
        </w:tc>
      </w:tr>
      <w:tr>
        <w:tc>
          <w:tcPr>
            <w:tcW w:type="dxa" w:w="2207"/>
          </w:tcPr>
          <w:p>
            <w:r/>
            <w:r>
              <w:rPr>
                <w:rFonts w:ascii="Calibri" w:hAnsi="Calibri" w:eastAsia="Times New Roman" w:cs="Times New Roman"/>
                <w:sz w:val="19"/>
              </w:rPr>
              <w:t>DBE</w:t>
            </w:r>
          </w:p>
        </w:tc>
        <w:tc>
          <w:tcPr>
            <w:tcW w:type="dxa" w:w="2207"/>
          </w:tcPr>
          <w:p>
            <w:r/>
            <w:r>
              <w:rPr>
                <w:rFonts w:ascii="Calibri" w:hAnsi="Calibri" w:eastAsia="Times New Roman" w:cs="Times New Roman"/>
                <w:sz w:val="19"/>
              </w:rPr>
              <w:t>50</w:t>
            </w:r>
          </w:p>
        </w:tc>
        <w:tc>
          <w:tcPr>
            <w:tcW w:type="dxa" w:w="2207"/>
          </w:tcPr>
          <w:p>
            <w:r/>
            <w:r>
              <w:rPr>
                <w:rFonts w:ascii="Calibri" w:hAnsi="Calibri" w:eastAsia="Times New Roman" w:cs="Times New Roman"/>
                <w:sz w:val="19"/>
              </w:rPr>
              <w:t>0.9427</w:t>
            </w:r>
          </w:p>
        </w:tc>
        <w:tc>
          <w:tcPr>
            <w:tcW w:type="dxa" w:w="2207"/>
          </w:tcPr>
          <w:p>
            <w:r/>
            <w:r>
              <w:rPr>
                <w:rFonts w:ascii="Calibri" w:hAnsi="Calibri" w:eastAsia="Times New Roman" w:cs="Times New Roman"/>
                <w:sz w:val="19"/>
              </w:rPr>
              <w:t>0.7259</w:t>
            </w:r>
          </w:p>
        </w:tc>
        <w:tc>
          <w:tcPr>
            <w:tcW w:type="dxa" w:w="2207"/>
          </w:tcPr>
          <w:p>
            <w:r/>
            <w:r>
              <w:rPr>
                <w:rFonts w:ascii="Calibri" w:hAnsi="Calibri" w:eastAsia="Times New Roman" w:cs="Times New Roman"/>
                <w:sz w:val="19"/>
              </w:rPr>
              <w:t>−0.2168</w:t>
            </w:r>
          </w:p>
        </w:tc>
        <w:tc>
          <w:tcPr>
            <w:tcW w:type="dxa" w:w="2207"/>
          </w:tcPr>
          <w:p>
            <w:r/>
            <w:r>
              <w:rPr>
                <w:rFonts w:ascii="Calibri" w:hAnsi="Calibri" w:eastAsia="Times New Roman" w:cs="Times New Roman"/>
                <w:sz w:val="19"/>
              </w:rPr>
              <w:t>0.00</w:t>
            </w:r>
          </w:p>
        </w:tc>
      </w:tr>
      <w:tr>
        <w:tc>
          <w:tcPr>
            <w:tcW w:type="dxa" w:w="2207"/>
          </w:tcPr>
          <w:p>
            <w:r/>
            <w:r>
              <w:rPr>
                <w:rFonts w:ascii="Calibri" w:hAnsi="Calibri" w:eastAsia="Times New Roman" w:cs="Times New Roman"/>
                <w:sz w:val="19"/>
              </w:rPr>
              <w:t>DBE</w:t>
            </w:r>
          </w:p>
        </w:tc>
        <w:tc>
          <w:tcPr>
            <w:tcW w:type="dxa" w:w="2207"/>
          </w:tcPr>
          <w:p>
            <w:r/>
            <w:r>
              <w:rPr>
                <w:rFonts w:ascii="Calibri" w:hAnsi="Calibri" w:eastAsia="Times New Roman" w:cs="Times New Roman"/>
                <w:sz w:val="19"/>
              </w:rPr>
              <w:t>100</w:t>
            </w:r>
          </w:p>
        </w:tc>
        <w:tc>
          <w:tcPr>
            <w:tcW w:type="dxa" w:w="2207"/>
          </w:tcPr>
          <w:p>
            <w:r/>
            <w:r>
              <w:rPr>
                <w:rFonts w:ascii="Calibri" w:hAnsi="Calibri" w:eastAsia="Times New Roman" w:cs="Times New Roman"/>
                <w:sz w:val="19"/>
              </w:rPr>
              <w:t>0.9652</w:t>
            </w:r>
          </w:p>
        </w:tc>
        <w:tc>
          <w:tcPr>
            <w:tcW w:type="dxa" w:w="2207"/>
          </w:tcPr>
          <w:p>
            <w:r/>
            <w:r>
              <w:rPr>
                <w:rFonts w:ascii="Calibri" w:hAnsi="Calibri" w:eastAsia="Times New Roman" w:cs="Times New Roman"/>
                <w:sz w:val="19"/>
              </w:rPr>
              <w:t>0.7541</w:t>
            </w:r>
          </w:p>
        </w:tc>
        <w:tc>
          <w:tcPr>
            <w:tcW w:type="dxa" w:w="2207"/>
          </w:tcPr>
          <w:p>
            <w:r/>
            <w:r>
              <w:rPr>
                <w:rFonts w:ascii="Calibri" w:hAnsi="Calibri" w:eastAsia="Times New Roman" w:cs="Times New Roman"/>
                <w:sz w:val="19"/>
              </w:rPr>
              <w:t>−0.2112</w:t>
            </w:r>
          </w:p>
        </w:tc>
        <w:tc>
          <w:tcPr>
            <w:tcW w:type="dxa" w:w="2207"/>
          </w:tcPr>
          <w:p>
            <w:r/>
            <w:r>
              <w:rPr>
                <w:rFonts w:ascii="Calibri" w:hAnsi="Calibri" w:eastAsia="Times New Roman" w:cs="Times New Roman"/>
                <w:sz w:val="19"/>
              </w:rPr>
              <w:t>0.00</w:t>
            </w:r>
          </w:p>
        </w:tc>
      </w:tr>
      <w:tr>
        <w:tc>
          <w:tcPr>
            <w:tcW w:type="dxa" w:w="2207"/>
          </w:tcPr>
          <w:p>
            <w:r/>
            <w:r>
              <w:rPr>
                <w:rFonts w:ascii="Calibri" w:hAnsi="Calibri" w:eastAsia="Times New Roman" w:cs="Times New Roman"/>
                <w:sz w:val="19"/>
              </w:rPr>
              <w:t>DBE</w:t>
            </w:r>
          </w:p>
        </w:tc>
        <w:tc>
          <w:tcPr>
            <w:tcW w:type="dxa" w:w="2207"/>
          </w:tcPr>
          <w:p>
            <w:r/>
            <w:r>
              <w:rPr>
                <w:rFonts w:ascii="Calibri" w:hAnsi="Calibri" w:eastAsia="Times New Roman" w:cs="Times New Roman"/>
                <w:sz w:val="19"/>
              </w:rPr>
              <w:t>200</w:t>
            </w:r>
          </w:p>
        </w:tc>
        <w:tc>
          <w:tcPr>
            <w:tcW w:type="dxa" w:w="2207"/>
          </w:tcPr>
          <w:p>
            <w:r/>
            <w:r>
              <w:rPr>
                <w:rFonts w:ascii="Calibri" w:hAnsi="Calibri" w:eastAsia="Times New Roman" w:cs="Times New Roman"/>
                <w:sz w:val="19"/>
              </w:rPr>
              <w:t>0.9767</w:t>
            </w:r>
          </w:p>
        </w:tc>
        <w:tc>
          <w:tcPr>
            <w:tcW w:type="dxa" w:w="2207"/>
          </w:tcPr>
          <w:p>
            <w:r/>
            <w:r>
              <w:rPr>
                <w:rFonts w:ascii="Calibri" w:hAnsi="Calibri" w:eastAsia="Times New Roman" w:cs="Times New Roman"/>
                <w:sz w:val="19"/>
              </w:rPr>
              <w:t>0.7655</w:t>
            </w:r>
          </w:p>
        </w:tc>
        <w:tc>
          <w:tcPr>
            <w:tcW w:type="dxa" w:w="2207"/>
          </w:tcPr>
          <w:p>
            <w:r/>
            <w:r>
              <w:rPr>
                <w:rFonts w:ascii="Calibri" w:hAnsi="Calibri" w:eastAsia="Times New Roman" w:cs="Times New Roman"/>
                <w:b/>
                <w:sz w:val="19"/>
              </w:rPr>
              <w:t>−0.2113</w:t>
            </w:r>
          </w:p>
        </w:tc>
        <w:tc>
          <w:tcPr>
            <w:tcW w:type="dxa" w:w="2207"/>
          </w:tcPr>
          <w:p>
            <w:r/>
            <w:r>
              <w:rPr>
                <w:rFonts w:ascii="Calibri" w:hAnsi="Calibri" w:eastAsia="Times New Roman" w:cs="Times New Roman"/>
                <w:sz w:val="19"/>
              </w:rPr>
              <w:t>0.00</w:t>
            </w:r>
          </w:p>
        </w:tc>
      </w:tr>
    </w:tbl>
    <w:p/>
    <w:p>
      <w:pPr>
        <w:spacing w:after="120"/>
      </w:pPr>
      <w:r>
        <w:rPr>
          <w:rFonts w:ascii="Calibri" w:hAnsi="Calibri" w:eastAsia="Times New Roman" w:cs="Times New Roman"/>
          <w:b/>
          <w:sz w:val="21"/>
        </w:rPr>
        <w:t>Conclusion: under the criterion "generalise to new samples," equal-weight seven-signal fusion is comprehensively worse than success rate alone</w:t>
      </w:r>
      <w:r>
        <w:rPr>
          <w:rFonts w:ascii="Calibri" w:hAnsi="Calibri" w:eastAsia="Times New Roman" w:cs="Times New Roman"/>
          <w:sz w:val="21"/>
        </w:rPr>
        <w:t>, and the disadvantage grows with more samples (Junyi from −0.0267 to −0.1222, DBE stable around −0.21); the fusion win rate is 0.00 across all 10 configurations.</w:t>
      </w:r>
    </w:p>
    <w:p>
      <w:pPr>
        <w:spacing w:after="120"/>
      </w:pPr>
      <w:r>
        <w:rPr>
          <w:rFonts w:ascii="Calibri" w:hAnsi="Calibri" w:eastAsia="Times New Roman" w:cs="Times New Roman"/>
          <w:b/>
          <w:sz w:val="21"/>
        </w:rPr>
        <w:t>But this reversal cannot be read entirely as "fusion has no predictive power"; the part constructed by the criterion structure itself must first be subtracted.</w:t>
      </w:r>
      <w:r>
        <w:rPr>
          <w:rFonts w:ascii="Calibri" w:hAnsi="Calibri" w:eastAsia="Times New Roman" w:cs="Times New Roman"/>
          <w:sz w:val="21"/>
        </w:rPr>
        <w:t xml:space="preserve"> The criterion here is "the real success rate 1 − ok_B/n_B of block B," and the baseline estimator "success rate only" estimates </w:t>
      </w:r>
      <w:r>
        <w:rPr>
          <w:rFonts w:ascii="Calibri" w:hAnsi="Calibri" w:eastAsia="Times New Roman" w:cs="Times New Roman"/>
          <w:b/>
          <w:sz w:val="21"/>
        </w:rPr>
        <w:t>exactly this statistic</w:t>
      </w:r>
      <w:r>
        <w:rPr>
          <w:rFonts w:ascii="Calibri" w:hAnsi="Calibri" w:eastAsia="Times New Roman" w:cs="Times New Roman"/>
          <w:sz w:val="21"/>
        </w:rPr>
        <w:t xml:space="preserve"> on fit block A—</w:t>
      </w:r>
      <w:r>
        <w:rPr>
          <w:rFonts w:ascii="Calibri" w:hAnsi="Calibri" w:eastAsia="Times New Roman" w:cs="Times New Roman"/>
          <w:b/>
          <w:sz w:val="21"/>
        </w:rPr>
        <w:t>the baseline is a small-sample estimate of the criterion quantity</w:t>
      </w:r>
      <w:r>
        <w:rPr>
          <w:rFonts w:ascii="Calibri" w:hAnsi="Calibri" w:eastAsia="Times New Roman" w:cs="Times New Roman"/>
          <w:sz w:val="21"/>
        </w:rPr>
        <w:t xml:space="preserve">, while the fusion estimator mixes in other constructs such as hint dependence, response time, attempt count, and session count. If an item's success probability is stable, the success rate on A converges to that on B, so this design is </w:t>
      </w:r>
      <w:r>
        <w:rPr>
          <w:rFonts w:ascii="Calibri" w:hAnsi="Calibri" w:eastAsia="Times New Roman" w:cs="Times New Roman"/>
          <w:b/>
          <w:sz w:val="21"/>
        </w:rPr>
        <w:t>asymptotically favourable to the success-rate-only estimator</w:t>
      </w:r>
      <w:r>
        <w:rPr>
          <w:rFonts w:ascii="Calibri" w:hAnsi="Calibri" w:eastAsia="Times New Roman" w:cs="Times New Roman"/>
          <w:sz w:val="21"/>
        </w:rPr>
        <w:t xml:space="preserve">; the observed "larger k, larger disadvantage" (baseline ρ reaches 0.95–0.96 at k = 200) is consistent with this. This does not mean the difference is entirely an artifact of the structure: the objective function is inter-item rank correlation, block B is still finite-sample, and the fusion estimator also contains the success-rate signal, leaving real differences. But </w:t>
      </w:r>
      <w:r>
        <w:rPr>
          <w:rFonts w:ascii="Calibri" w:hAnsi="Calibri" w:eastAsia="Times New Roman" w:cs="Times New Roman"/>
          <w:b/>
          <w:sz w:val="21"/>
        </w:rPr>
        <w:t>a substantial part of the reversal is built into the criterion choice</w:t>
      </w:r>
      <w:r>
        <w:rPr>
          <w:rFonts w:ascii="Calibri" w:hAnsi="Calibri" w:eastAsia="Times New Roman" w:cs="Times New Roman"/>
          <w:sz w:val="21"/>
        </w:rPr>
        <w:t>.</w:t>
      </w:r>
    </w:p>
    <w:p>
      <w:pPr>
        <w:spacing w:after="120"/>
      </w:pPr>
      <w:r>
        <w:rPr>
          <w:rFonts w:ascii="Calibri" w:hAnsi="Calibri" w:eastAsia="Times New Roman" w:cs="Times New Roman"/>
          <w:sz w:val="21"/>
        </w:rPr>
        <w:t xml:space="preserve">Therefore we rewrite the final qualitative statement of O4 / O5 as: </w:t>
      </w:r>
      <w:r>
        <w:rPr>
          <w:rFonts w:ascii="Calibri" w:hAnsi="Calibri" w:eastAsia="Times New Roman" w:cs="Times New Roman"/>
          <w:b/>
          <w:sz w:val="21"/>
        </w:rPr>
        <w:t>when the criterion quantity is success rate, the success-rate estimator's large-sample dominance is design-expected; fusion's role is rank stabilisation at small samples.</w:t>
      </w:r>
      <w:r>
        <w:rPr>
          <w:rFonts w:ascii="Calibri" w:hAnsi="Calibri" w:eastAsia="Times New Roman" w:cs="Times New Roman"/>
          <w:sz w:val="21"/>
        </w:rPr>
        <w:t xml:space="preserve"> This statement is directly supported by O8–O12 (record-level +3.823 pp and student-level +4.283 pp at k = 10, falling below 0.4 pp for k ≥ 100), and is compatible with the variance-reduction explanation of the "(1−λ)·success-rate + λ·fusion" shrinkage combination—but we </w:t>
      </w:r>
      <w:r>
        <w:rPr>
          <w:rFonts w:ascii="Calibri" w:hAnsi="Calibri" w:eastAsia="Times New Roman" w:cs="Times New Roman"/>
          <w:b/>
          <w:sz w:val="21"/>
        </w:rPr>
        <w:t>did no bias–variance decomposition and have no prior model, so we have not identified this explanation</w:t>
      </w:r>
      <w:r>
        <w:rPr>
          <w:rFonts w:ascii="Calibri" w:hAnsi="Calibri" w:eastAsia="Times New Roman" w:cs="Times New Roman"/>
          <w:sz w:val="21"/>
        </w:rPr>
        <w:t>; it is merely a compatible reading.</w:t>
      </w:r>
    </w:p>
    <w:p>
      <w:pPr>
        <w:spacing w:after="120"/>
      </w:pPr>
      <w:r>
        <w:rPr>
          <w:rFonts w:ascii="Calibri" w:hAnsi="Calibri" w:eastAsia="Times New Roman" w:cs="Times New Roman"/>
          <w:sz w:val="21"/>
        </w:rPr>
        <w:t xml:space="preserve">The sentence "consistency gain is not predictive-power gain" must be given a primary test on an </w:t>
      </w:r>
      <w:r>
        <w:rPr>
          <w:rFonts w:ascii="Calibri" w:hAnsi="Calibri" w:eastAsia="Times New Roman" w:cs="Times New Roman"/>
          <w:b/>
          <w:sz w:val="21"/>
        </w:rPr>
        <w:t>exogenous criterion</w:t>
      </w:r>
      <w:r>
        <w:rPr>
          <w:rFonts w:ascii="Calibri" w:hAnsi="Calibri" w:eastAsia="Times New Roman" w:cs="Times New Roman"/>
          <w:sz w:val="21"/>
        </w:rPr>
        <w:t xml:space="preserve">. The hierarchy of criteria is set by construct distance: </w:t>
      </w:r>
      <w:r>
        <w:rPr>
          <w:rFonts w:ascii="Calibri" w:hAnsi="Calibri" w:eastAsia="Times New Roman" w:cs="Times New Roman"/>
          <w:b/>
          <w:sz w:val="21"/>
        </w:rPr>
        <w:t>the primary decision criterion takes DBE-KT22's teacher difficulty labels</w:t>
      </w:r>
      <w:r>
        <w:rPr>
          <w:rFonts w:ascii="Calibri" w:hAnsi="Calibri" w:eastAsia="Times New Roman" w:cs="Times New Roman"/>
          <w:sz w:val="21"/>
        </w:rPr>
        <w:t xml:space="preserve"> (R7: Abdelrahman et al. 2022; 3-level ordinal 1/2/3, from outside the logs, the </w:t>
      </w:r>
      <w:r>
        <w:rPr>
          <w:rFonts w:ascii="Calibri" w:hAnsi="Calibri" w:eastAsia="Times New Roman" w:cs="Times New Roman"/>
          <w:b/>
          <w:sz w:val="21"/>
        </w:rPr>
        <w:t>only</w:t>
      </w:r>
      <w:r>
        <w:rPr>
          <w:rFonts w:ascii="Calibri" w:hAnsi="Calibri" w:eastAsia="Times New Roman" w:cs="Times New Roman"/>
          <w:sz w:val="21"/>
        </w:rPr>
        <w:t xml:space="preserve"> exogenous benchmark available to us); the </w:t>
      </w:r>
      <w:r>
        <w:rPr>
          <w:rFonts w:ascii="Calibri" w:hAnsi="Calibri" w:eastAsia="Times New Roman" w:cs="Times New Roman"/>
          <w:b/>
          <w:sz w:val="21"/>
        </w:rPr>
        <w:t>ability-corrected criterion (IRT-1PL) is demoted to an appendix sensitivity analysis</w:t>
      </w:r>
      <w:r>
        <w:rPr>
          <w:rFonts w:ascii="Calibri" w:hAnsi="Calibri" w:eastAsia="Times New Roman" w:cs="Times New Roman"/>
          <w:sz w:val="21"/>
        </w:rPr>
        <w:t>, for the reason given in the next paragraph.</w:t>
      </w:r>
    </w:p>
    <w:p>
      <w:pPr>
        <w:spacing w:after="120"/>
      </w:pPr>
      <w:r>
        <w:rPr>
          <w:rFonts w:ascii="Calibri" w:hAnsi="Calibri" w:eastAsia="Times New Roman" w:cs="Times New Roman"/>
          <w:b/>
          <w:sz w:val="21"/>
        </w:rPr>
        <w:t>Primary decision criterion (A2·DBE-KT22, exogenous):</w:t>
      </w:r>
      <w:r>
        <w:rPr>
          <w:rFonts w:ascii="Calibri" w:hAnsi="Calibri" w:eastAsia="Times New Roman" w:cs="Times New Roman"/>
          <w:sz w:val="21"/>
        </w:rPr>
        <w:t xml:space="preserve"> all 212 items carry teacher difficulty annotation. With teacher labels placed at the criterion position (signals built by the shared </w:t>
      </w:r>
      <w:r>
        <w:rPr>
          <w:rFonts w:ascii="Consolas" w:hAnsi="Consolas" w:eastAsia="Times New Roman" w:cs="Times New Roman"/>
          <w:sz w:val="21"/>
        </w:rPr>
        <w:t>dbe_signals.build()</w:t>
      </w:r>
      <w:r>
        <w:rPr>
          <w:rFonts w:ascii="Calibri" w:hAnsi="Calibri" w:eastAsia="Times New Roman" w:cs="Times New Roman"/>
          <w:sz w:val="21"/>
        </w:rPr>
        <w:t xml:space="preserve">; all transactions used, per review §3.2 ②), the result is Spearman(fusion, teacher label) = </w:t>
      </w:r>
      <w:r>
        <w:rPr>
          <w:rFonts w:ascii="Calibri" w:hAnsi="Calibri" w:eastAsia="Times New Roman" w:cs="Times New Roman"/>
          <w:b/>
          <w:sz w:val="21"/>
        </w:rPr>
        <w:t>0.2918</w:t>
      </w:r>
      <w:r>
        <w:rPr>
          <w:rFonts w:ascii="Calibri" w:hAnsi="Calibri" w:eastAsia="Times New Roman" w:cs="Times New Roman"/>
          <w:sz w:val="21"/>
        </w:rPr>
        <w:t xml:space="preserve">, Spearman(success-only, teacher label) = </w:t>
      </w:r>
      <w:r>
        <w:rPr>
          <w:rFonts w:ascii="Calibri" w:hAnsi="Calibri" w:eastAsia="Times New Roman" w:cs="Times New Roman"/>
          <w:b/>
          <w:sz w:val="21"/>
        </w:rPr>
        <w:t>0.2204</w:t>
      </w:r>
      <w:r>
        <w:rPr>
          <w:rFonts w:ascii="Calibri" w:hAnsi="Calibri" w:eastAsia="Times New Roman" w:cs="Times New Roman"/>
          <w:sz w:val="21"/>
        </w:rPr>
        <w:t xml:space="preserve">, linear-weighted κ = </w:t>
      </w:r>
      <w:r>
        <w:rPr>
          <w:rFonts w:ascii="Calibri" w:hAnsi="Calibri" w:eastAsia="Times New Roman" w:cs="Times New Roman"/>
          <w:b/>
          <w:sz w:val="21"/>
        </w:rPr>
        <w:t>0.178</w:t>
      </w:r>
      <w:r>
        <w:rPr>
          <w:rFonts w:ascii="Calibri" w:hAnsi="Calibri" w:eastAsia="Times New Roman" w:cs="Times New Roman"/>
          <w:sz w:val="21"/>
        </w:rPr>
        <w:t xml:space="preserve">. Fusion now holds a small advantage over success-rate-only under this criterion, and both remain only weakly correlated with teacher labels. (Review §3.2, 2026-10-02: this section's signal definitions are now unified with §6/O4 through a single </w:t>
      </w:r>
      <w:r>
        <w:rPr>
          <w:rFonts w:ascii="Consolas" w:hAnsi="Consolas" w:eastAsia="Times New Roman" w:cs="Times New Roman"/>
          <w:sz w:val="21"/>
        </w:rPr>
        <w:t>dbe_signals.build()</w:t>
      </w:r>
      <w:r>
        <w:rPr>
          <w:rFonts w:ascii="Calibri" w:hAnsi="Calibri" w:eastAsia="Times New Roman" w:cs="Times New Roman"/>
          <w:sz w:val="21"/>
        </w:rPr>
        <w:t xml:space="preserve">, and both report the </w:t>
      </w:r>
      <w:r>
        <w:rPr>
          <w:rFonts w:ascii="Calibri" w:hAnsi="Calibri" w:eastAsia="Times New Roman" w:cs="Times New Roman"/>
          <w:b/>
          <w:sz w:val="21"/>
        </w:rPr>
        <w:t>same</w:t>
      </w:r>
      <w:r>
        <w:rPr>
          <w:rFonts w:ascii="Calibri" w:hAnsi="Calibri" w:eastAsia="Times New Roman" w:cs="Times New Roman"/>
          <w:sz w:val="21"/>
        </w:rPr>
        <w:t xml:space="preserve"> equal-weight Spearman 0.2918; the previous 0.2918-vs-0.205 discrepancy is resolved.) (Single-model rating vs. teacher-label alignment at richer ordinal metrics is in M3 §5.7.1: τ_b / graded AUC / k-scan panels.)</w:t>
      </w:r>
    </w:p>
    <w:p>
      <w:pPr>
        <w:spacing w:after="120"/>
      </w:pPr>
      <w:r>
        <w:rPr>
          <w:rFonts w:ascii="Calibri" w:hAnsi="Calibri" w:eastAsia="Times New Roman" w:cs="Times New Roman"/>
          <w:b/>
          <w:sz w:val="21"/>
        </w:rPr>
        <w:t>Why 1PL cannot serve as an exogenous benchmark (Appendix A.x):</w:t>
      </w:r>
      <w:r>
        <w:rPr>
          <w:rFonts w:ascii="Calibri" w:hAnsi="Calibri" w:eastAsia="Times New Roman" w:cs="Times New Roman"/>
          <w:sz w:val="21"/>
        </w:rPr>
        <w:t xml:space="preserve"> we additionally split students on Junyi by crc32(uuid) parity (O10 student-level holdout), and under the criterion-half per-item ≥500-response caliber actually obtain </w:t>
      </w:r>
      <w:r>
        <w:rPr>
          <w:rFonts w:ascii="Calibri" w:hAnsi="Calibri" w:eastAsia="Times New Roman" w:cs="Times New Roman"/>
          <w:b/>
          <w:sz w:val="21"/>
        </w:rPr>
        <w:t>1,274 items</w:t>
      </w:r>
      <w:r>
        <w:rPr>
          <w:rFonts w:ascii="Calibri" w:hAnsi="Calibri" w:eastAsia="Times New Roman" w:cs="Times New Roman"/>
          <w:sz w:val="21"/>
        </w:rPr>
        <w:t xml:space="preserve"> (32,563 students, 1,845,035 responses) fitting IRT-1PL item difficulty b_j (ability-corrected, mean|b_j| = 0.80), yielding (review §3.1, 2026-10-02 corrected) Spearman(b_j, success-only_B) = 0.963 — a value inflated by same-half leakage from taking the baseline from block B, the same half that fits b_j — </w:t>
      </w:r>
      <w:r>
        <w:rPr>
          <w:rFonts w:ascii="Calibri" w:hAnsi="Calibri" w:eastAsia="Times New Roman" w:cs="Times New Roman"/>
          <w:b/>
          <w:sz w:val="21"/>
        </w:rPr>
        <w:t>withdrawn</w:t>
      </w:r>
      <w:r>
        <w:rPr>
          <w:rFonts w:ascii="Calibri" w:hAnsi="Calibri" w:eastAsia="Times New Roman" w:cs="Times New Roman"/>
          <w:sz w:val="21"/>
        </w:rPr>
        <w:t xml:space="preserve">. With the success-rate baseline and the fusion estimator both placed on </w:t>
      </w:r>
      <w:r>
        <w:rPr>
          <w:rFonts w:ascii="Calibri" w:hAnsi="Calibri" w:eastAsia="Times New Roman" w:cs="Times New Roman"/>
          <w:b/>
          <w:sz w:val="21"/>
        </w:rPr>
        <w:t>block A</w:t>
      </w:r>
      <w:r>
        <w:rPr>
          <w:rFonts w:ascii="Calibri" w:hAnsi="Calibri" w:eastAsia="Times New Roman" w:cs="Times New Roman"/>
          <w:sz w:val="21"/>
        </w:rPr>
        <w:t xml:space="preserve"> and compared against the same b_j: Spearman(b_j, success-only_A) = </w:t>
      </w:r>
      <w:r>
        <w:rPr>
          <w:rFonts w:ascii="Calibri" w:hAnsi="Calibri" w:eastAsia="Times New Roman" w:cs="Times New Roman"/>
          <w:b/>
          <w:sz w:val="21"/>
        </w:rPr>
        <w:t>0.9541</w:t>
      </w:r>
      <w:r>
        <w:rPr>
          <w:rFonts w:ascii="Calibri" w:hAnsi="Calibri" w:eastAsia="Times New Roman" w:cs="Times New Roman"/>
          <w:sz w:val="21"/>
        </w:rPr>
        <w:t xml:space="preserve">, Spearman(b_j, fusion_A) = </w:t>
      </w:r>
      <w:r>
        <w:rPr>
          <w:rFonts w:ascii="Calibri" w:hAnsi="Calibri" w:eastAsia="Times New Roman" w:cs="Times New Roman"/>
          <w:b/>
          <w:sz w:val="21"/>
        </w:rPr>
        <w:t>0.8923</w:t>
      </w:r>
      <w:r>
        <w:rPr>
          <w:rFonts w:ascii="Calibri" w:hAnsi="Calibri" w:eastAsia="Times New Roman" w:cs="Times New Roman"/>
          <w:sz w:val="21"/>
        </w:rPr>
        <w:t xml:space="preserve"> (neither estimator shares a half with b_j; the within-A success/fusion correlation is 0.940). </w:t>
      </w:r>
      <w:r>
        <w:rPr>
          <w:rFonts w:ascii="Calibri" w:hAnsi="Calibri" w:eastAsia="Times New Roman" w:cs="Times New Roman"/>
          <w:b/>
          <w:sz w:val="21"/>
        </w:rPr>
        <w:t>1PL and success rate remain highly commensurate</w:t>
      </w:r>
      <w:r>
        <w:rPr>
          <w:rFonts w:ascii="Calibri" w:hAnsi="Calibri" w:eastAsia="Times New Roman" w:cs="Times New Roman"/>
          <w:sz w:val="21"/>
        </w:rPr>
        <w:t xml:space="preserve"> (≈0.95), a value of the same order and same conclusion as Deep-IRT (Yeung 2019) reporting "Pearson r = 0.96 between item analysis and 1PL IRT difficulty" on FSAI data. Therefore </w:t>
      </w:r>
      <w:r>
        <w:rPr>
          <w:rFonts w:ascii="Calibri" w:hAnsi="Calibri" w:eastAsia="Times New Roman" w:cs="Times New Roman"/>
          <w:b/>
          <w:sz w:val="21"/>
        </w:rPr>
        <w:t>1PL only corrects the ability composition, it is not an exogenous benchmark</w:t>
      </w:r>
      <w:r>
        <w:rPr>
          <w:rFonts w:ascii="Calibri" w:hAnsi="Calibri" w:eastAsia="Times New Roman" w:cs="Times New Roman"/>
          <w:sz w:val="21"/>
        </w:rPr>
        <w:t xml:space="preserve">: placing 1PL as a third criterion alongside success rate merely re-introduces the tautology "same statistic" under a different name. We therefore move it to the appendix as a sensitivity analysis only, and </w:t>
      </w:r>
      <w:r>
        <w:rPr>
          <w:rFonts w:ascii="Calibri" w:hAnsi="Calibri" w:eastAsia="Times New Roman" w:cs="Times New Roman"/>
          <w:b/>
          <w:sz w:val="21"/>
        </w:rPr>
        <w:t>the main results table has no 1PL column</w:t>
      </w:r>
      <w:r>
        <w:rPr>
          <w:rFonts w:ascii="Calibri" w:hAnsi="Calibri" w:eastAsia="Times New Roman" w:cs="Times New Roman"/>
          <w:sz w:val="21"/>
        </w:rPr>
        <w:t xml:space="preserve">. Both additional criteria were cross-validated by </w:t>
      </w:r>
      <w:r>
        <w:rPr>
          <w:rFonts w:ascii="Consolas" w:hAnsi="Consolas" w:eastAsia="Times New Roman" w:cs="Times New Roman"/>
          <w:sz w:val="21"/>
        </w:rPr>
        <w:t>verify_m1_criteria.py --results m1_criteria_results.json</w:t>
      </w:r>
      <w:r>
        <w:rPr>
          <w:rFonts w:ascii="Calibri" w:hAnsi="Calibri" w:eastAsia="Times New Roman" w:cs="Times New Roman"/>
          <w:sz w:val="21"/>
        </w:rPr>
        <w:t xml:space="preserve"> (PASS); all numbers are real computed values.</w:t>
      </w:r>
    </w:p>
    <w:p>
      <w:pPr>
        <w:spacing w:after="120"/>
      </w:pPr>
      <w:r>
        <w:rPr>
          <w:rFonts w:ascii="Calibri" w:hAnsi="Calibri" w:eastAsia="Times New Roman" w:cs="Times New Roman"/>
          <w:sz w:val="21"/>
        </w:rPr>
        <w:t xml:space="preserve">An over-interpretation that must also be avoided is "fusion is useless." The fusion gain under the expert-label criterion is real, reproducible, and has a clear mechanism (differential feature); "useless" means it is </w:t>
      </w:r>
      <w:r>
        <w:rPr>
          <w:rFonts w:ascii="Calibri" w:hAnsi="Calibri" w:eastAsia="Times New Roman" w:cs="Times New Roman"/>
          <w:b/>
          <w:sz w:val="21"/>
        </w:rPr>
        <w:t>not proven useful for the purpose of adaptive ranking</w:t>
      </w:r>
      <w:r>
        <w:rPr>
          <w:rFonts w:ascii="Calibri" w:hAnsi="Calibri" w:eastAsia="Times New Roman" w:cs="Times New Roman"/>
          <w:sz w:val="21"/>
        </w:rPr>
        <w:t>. For tasks aimed at expert judgement, such as "difficulty grading at item intake" and "expert alignment of question-bank quality," fusion remains effective.</w:t>
      </w:r>
    </w:p>
    <w:p>
      <w:pPr>
        <w:spacing w:after="120"/>
      </w:pPr>
      <w:r>
        <w:rPr>
          <w:rFonts w:ascii="Calibri" w:hAnsi="Calibri" w:eastAsia="Times New Roman" w:cs="Times New Roman"/>
          <w:sz w:val="21"/>
        </w:rPr>
        <w:t xml:space="preserve">Finally, </w:t>
      </w:r>
      <w:r>
        <w:rPr>
          <w:rFonts w:ascii="Calibri" w:hAnsi="Calibri" w:eastAsia="Times New Roman" w:cs="Times New Roman"/>
          <w:b/>
          <w:sz w:val="21"/>
        </w:rPr>
        <w:t>the absolute values of ρ in this section and the §7.8 tables must not be bolded and must not be read as "near perfect"</w:t>
      </w:r>
      <w:r>
        <w:rPr>
          <w:rFonts w:ascii="Calibri" w:hAnsi="Calibri" w:eastAsia="Times New Roman" w:cs="Times New Roman"/>
          <w:sz w:val="21"/>
        </w:rPr>
        <w:t xml:space="preserve">: the criterion-block reliability is limited (record-level block B fixed at 250, student-level requires ≥500), so only </w:t>
      </w:r>
      <w:r>
        <w:rPr>
          <w:rFonts w:ascii="Calibri" w:hAnsi="Calibri" w:eastAsia="Times New Roman" w:cs="Times New Roman"/>
          <w:b/>
          <w:sz w:val="21"/>
        </w:rPr>
        <w:t>within-k between-group comparisons</w:t>
      </w:r>
      <w:r>
        <w:rPr>
          <w:rFonts w:ascii="Calibri" w:hAnsi="Calibri" w:eastAsia="Times New Roman" w:cs="Times New Roman"/>
          <w:sz w:val="21"/>
        </w:rPr>
        <w:t xml:space="preserve"> are valid.</w:t>
      </w:r>
    </w:p>
    <w:p>
      <w:pPr>
        <w:pStyle w:val="Heading2"/>
        <w:spacing w:before="120" w:after="80"/>
      </w:pPr>
      <w:r>
        <w:rPr>
          <w:rFonts w:ascii="Calibri" w:hAnsi="Calibri" w:eastAsia="Times New Roman" w:cs="Times New Roman"/>
          <w:sz w:val="27"/>
        </w:rPr>
        <w:t>7.3 O8: locating and fixing a directional error</w:t>
      </w:r>
    </w:p>
    <w:p>
      <w:pPr>
        <w:spacing w:after="120"/>
      </w:pPr>
      <w:r>
        <w:rPr>
          <w:rFonts w:ascii="Calibri" w:hAnsi="Calibri" w:eastAsia="Times New Roman" w:cs="Times New Roman"/>
          <w:sz w:val="21"/>
        </w:rPr>
        <w:t>Faced with the above reversal, we did not attribute it to "tuning preference" but inspected the fusion configuration itself. The inspection located one real error:</w:t>
      </w:r>
    </w:p>
    <w:p>
      <w:pPr>
        <w:spacing w:before="40" w:after="40"/>
        <w:ind w:left="360"/>
        <w:pBdr>
          <w:left w:val="single" w:sz="12" w:space="6" w:color="888888"/>
        </w:pBdr>
      </w:pPr>
      <w:r>
        <w:rPr>
          <w:rFonts w:ascii="Calibri" w:hAnsi="Calibri" w:eastAsia="Times New Roman" w:cs="Times New Roman"/>
          <w:b/>
          <w:i/>
          <w:color w:val="555555"/>
          <w:sz w:val="19"/>
        </w:rPr>
        <w:t>The upgrade rate correlates −0.1837 with expert difficulty, and −0.756 in-pool (same knowledge point × same ability decile), yet the optimiser assigned it a positive weight +0.154.</w:t>
      </w:r>
    </w:p>
    <w:p>
      <w:pPr>
        <w:spacing w:after="120"/>
      </w:pPr>
      <w:r>
        <w:rPr>
          <w:rFonts w:ascii="Calibri" w:hAnsi="Calibri" w:eastAsia="Times New Roman" w:cs="Times New Roman"/>
          <w:sz w:val="21"/>
        </w:rPr>
        <w:t>That is, a negatively-directed signal was counted into the fusion with a positive weight. This does not surface in in-sample fitting (the optimiser can compensate with other signals), but in holdout validation it systematically reverses the direction of difficulty. There are two fixes: drop the signal (fused6), and introduce a sample-size-shrinking fusion weight λ (§7.4). Comparing variants under the holdout framework (λ chosen on a random half of items, evaluated on the held-out other half, 20 half-splits × 25 repeats):</w:t>
      </w:r>
    </w:p>
    <w:p>
      <w:pPr>
        <w:spacing w:after="120"/>
      </w:pPr>
      <w:r>
        <w:rPr>
          <w:rFonts w:ascii="Calibri" w:hAnsi="Calibri" w:eastAsia="Times New Roman" w:cs="Times New Roman"/>
          <w:b/>
          <w:sz w:val="21"/>
        </w:rPr>
        <w:t>Table 21. O8: locating and fixing a directional error</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207"/>
        <w:gridCol w:w="2207"/>
        <w:gridCol w:w="2207"/>
        <w:gridCol w:w="2207"/>
        <w:gridCol w:w="2207"/>
        <w:gridCol w:w="2207"/>
      </w:tblGrid>
      <w:tr>
        <w:tc>
          <w:tcPr>
            <w:tcW w:type="dxa" w:w="2207"/>
            <w:shd w:val="clear" w:color="auto" w:fill="DDDDDD"/>
          </w:tcPr>
          <w:p>
            <w:r>
              <w:rPr>
                <w:b/>
              </w:rPr>
            </w:r>
            <w:r>
              <w:rPr>
                <w:rFonts w:ascii="Calibri" w:hAnsi="Calibri" w:eastAsia="Times New Roman" w:cs="Times New Roman"/>
                <w:b/>
                <w:sz w:val="19"/>
              </w:rPr>
              <w:t>Variant</w:t>
            </w:r>
          </w:p>
        </w:tc>
        <w:tc>
          <w:tcPr>
            <w:tcW w:type="dxa" w:w="2207"/>
            <w:shd w:val="clear" w:color="auto" w:fill="DDDDDD"/>
          </w:tcPr>
          <w:p>
            <w:r>
              <w:rPr>
                <w:b/>
              </w:rPr>
            </w:r>
            <w:r>
              <w:rPr>
                <w:rFonts w:ascii="Calibri" w:hAnsi="Calibri" w:eastAsia="Times New Roman" w:cs="Times New Roman"/>
                <w:b/>
                <w:sz w:val="19"/>
              </w:rPr>
              <w:t>k</w:t>
            </w:r>
          </w:p>
        </w:tc>
        <w:tc>
          <w:tcPr>
            <w:tcW w:type="dxa" w:w="2207"/>
            <w:shd w:val="clear" w:color="auto" w:fill="DDDDDD"/>
          </w:tcPr>
          <w:p>
            <w:r>
              <w:rPr>
                <w:b/>
              </w:rPr>
            </w:r>
            <w:r>
              <w:rPr>
                <w:rFonts w:ascii="Calibri" w:hAnsi="Calibri" w:eastAsia="Times New Roman" w:cs="Times New Roman"/>
                <w:b/>
                <w:sz w:val="19"/>
              </w:rPr>
              <w:t>success ρ / variant ρ</w:t>
            </w:r>
          </w:p>
        </w:tc>
        <w:tc>
          <w:tcPr>
            <w:tcW w:type="dxa" w:w="2207"/>
            <w:shd w:val="clear" w:color="auto" w:fill="DDDDDD"/>
          </w:tcPr>
          <w:p>
            <w:r>
              <w:rPr>
                <w:b/>
              </w:rPr>
            </w:r>
            <w:r>
              <w:rPr>
                <w:rFonts w:ascii="Calibri" w:hAnsi="Calibri" w:eastAsia="Times New Roman" w:cs="Times New Roman"/>
                <w:b/>
                <w:sz w:val="19"/>
              </w:rPr>
              <w:t>λ*</w:t>
            </w:r>
          </w:p>
        </w:tc>
        <w:tc>
          <w:tcPr>
            <w:tcW w:type="dxa" w:w="2207"/>
            <w:shd w:val="clear" w:color="auto" w:fill="DDDDDD"/>
          </w:tcPr>
          <w:p>
            <w:r>
              <w:rPr>
                <w:b/>
              </w:rPr>
            </w:r>
            <w:r>
              <w:rPr>
                <w:rFonts w:ascii="Calibri" w:hAnsi="Calibri" w:eastAsia="Times New Roman" w:cs="Times New Roman"/>
                <w:b/>
                <w:sz w:val="19"/>
              </w:rPr>
              <w:t>holdout ρ(λ*)</w:t>
            </w:r>
          </w:p>
        </w:tc>
        <w:tc>
          <w:tcPr>
            <w:tcW w:type="dxa" w:w="2207"/>
            <w:shd w:val="clear" w:color="auto" w:fill="DDDDDD"/>
          </w:tcPr>
          <w:p>
            <w:r>
              <w:rPr>
                <w:b/>
              </w:rPr>
            </w:r>
            <w:r>
              <w:rPr>
                <w:rFonts w:ascii="Calibri" w:hAnsi="Calibri" w:eastAsia="Times New Roman" w:cs="Times New Roman"/>
                <w:b/>
                <w:sz w:val="19"/>
              </w:rPr>
              <w:t>gain vs. success rate</w:t>
            </w:r>
          </w:p>
        </w:tc>
      </w:tr>
      <w:tr>
        <w:tc>
          <w:tcPr>
            <w:tcW w:type="dxa" w:w="2207"/>
          </w:tcPr>
          <w:p>
            <w:r/>
            <w:r>
              <w:rPr>
                <w:rFonts w:ascii="Calibri" w:hAnsi="Calibri" w:eastAsia="Times New Roman" w:cs="Times New Roman"/>
                <w:sz w:val="19"/>
              </w:rPr>
              <w:t>fused7 (O5 original)</w:t>
            </w:r>
          </w:p>
        </w:tc>
        <w:tc>
          <w:tcPr>
            <w:tcW w:type="dxa" w:w="2207"/>
          </w:tcPr>
          <w:p>
            <w:r/>
            <w:r>
              <w:rPr>
                <w:rFonts w:ascii="Calibri" w:hAnsi="Calibri" w:eastAsia="Times New Roman" w:cs="Times New Roman"/>
                <w:sz w:val="19"/>
              </w:rPr>
              <w:t>10</w:t>
            </w:r>
          </w:p>
        </w:tc>
        <w:tc>
          <w:tcPr>
            <w:tcW w:type="dxa" w:w="2207"/>
          </w:tcPr>
          <w:p>
            <w:r/>
            <w:r>
              <w:rPr>
                <w:rFonts w:ascii="Calibri" w:hAnsi="Calibri" w:eastAsia="Times New Roman" w:cs="Times New Roman"/>
                <w:sz w:val="19"/>
              </w:rPr>
              <w:t>0.6702 / 0.6431</w:t>
            </w:r>
          </w:p>
        </w:tc>
        <w:tc>
          <w:tcPr>
            <w:tcW w:type="dxa" w:w="2207"/>
          </w:tcPr>
          <w:p>
            <w:r/>
            <w:r>
              <w:rPr>
                <w:rFonts w:ascii="Calibri" w:hAnsi="Calibri" w:eastAsia="Times New Roman" w:cs="Times New Roman"/>
                <w:sz w:val="19"/>
              </w:rPr>
              <w:t>0.52</w:t>
            </w:r>
          </w:p>
        </w:tc>
        <w:tc>
          <w:tcPr>
            <w:tcW w:type="dxa" w:w="2207"/>
          </w:tcPr>
          <w:p>
            <w:r/>
            <w:r>
              <w:rPr>
                <w:rFonts w:ascii="Calibri" w:hAnsi="Calibri" w:eastAsia="Times New Roman" w:cs="Times New Roman"/>
                <w:sz w:val="19"/>
              </w:rPr>
              <w:t>0.6871</w:t>
            </w:r>
          </w:p>
        </w:tc>
        <w:tc>
          <w:tcPr>
            <w:tcW w:type="dxa" w:w="2207"/>
          </w:tcPr>
          <w:p>
            <w:r/>
            <w:r>
              <w:rPr>
                <w:rFonts w:ascii="Calibri" w:hAnsi="Calibri" w:eastAsia="Times New Roman" w:cs="Times New Roman"/>
                <w:sz w:val="19"/>
              </w:rPr>
              <w:t>+1.73 pp</w:t>
            </w:r>
          </w:p>
        </w:tc>
      </w:tr>
      <w:tr>
        <w:tc>
          <w:tcPr>
            <w:tcW w:type="dxa" w:w="2207"/>
          </w:tcPr>
          <w:p>
            <w:r/>
            <w:r>
              <w:rPr>
                <w:rFonts w:ascii="Calibri" w:hAnsi="Calibri" w:eastAsia="Times New Roman" w:cs="Times New Roman"/>
                <w:b/>
                <w:sz w:val="19"/>
              </w:rPr>
              <w:t>fused6 (drop upgrade rate)</w:t>
            </w:r>
          </w:p>
        </w:tc>
        <w:tc>
          <w:tcPr>
            <w:tcW w:type="dxa" w:w="2207"/>
          </w:tcPr>
          <w:p>
            <w:r/>
            <w:r>
              <w:rPr>
                <w:rFonts w:ascii="Calibri" w:hAnsi="Calibri" w:eastAsia="Times New Roman" w:cs="Times New Roman"/>
                <w:sz w:val="19"/>
              </w:rPr>
              <w:t>10</w:t>
            </w:r>
          </w:p>
        </w:tc>
        <w:tc>
          <w:tcPr>
            <w:tcW w:type="dxa" w:w="2207"/>
          </w:tcPr>
          <w:p>
            <w:r/>
            <w:r>
              <w:rPr>
                <w:rFonts w:ascii="Calibri" w:hAnsi="Calibri" w:eastAsia="Times New Roman" w:cs="Times New Roman"/>
                <w:sz w:val="19"/>
              </w:rPr>
              <w:t xml:space="preserve">0.6659 / </w:t>
            </w:r>
            <w:r>
              <w:rPr>
                <w:rFonts w:ascii="Calibri" w:hAnsi="Calibri" w:eastAsia="Times New Roman" w:cs="Times New Roman"/>
                <w:b/>
                <w:sz w:val="19"/>
              </w:rPr>
              <w:t>0.6880</w:t>
            </w:r>
          </w:p>
        </w:tc>
        <w:tc>
          <w:tcPr>
            <w:tcW w:type="dxa" w:w="2207"/>
          </w:tcPr>
          <w:p>
            <w:r/>
            <w:r>
              <w:rPr>
                <w:rFonts w:ascii="Calibri" w:hAnsi="Calibri" w:eastAsia="Times New Roman" w:cs="Times New Roman"/>
                <w:sz w:val="19"/>
              </w:rPr>
              <w:t>0.70</w:t>
            </w:r>
          </w:p>
        </w:tc>
        <w:tc>
          <w:tcPr>
            <w:tcW w:type="dxa" w:w="2207"/>
          </w:tcPr>
          <w:p>
            <w:r/>
            <w:r>
              <w:rPr>
                <w:rFonts w:ascii="Calibri" w:hAnsi="Calibri" w:eastAsia="Times New Roman" w:cs="Times New Roman"/>
                <w:b/>
                <w:sz w:val="19"/>
              </w:rPr>
              <w:t>0.6992</w:t>
            </w:r>
          </w:p>
        </w:tc>
        <w:tc>
          <w:tcPr>
            <w:tcW w:type="dxa" w:w="2207"/>
          </w:tcPr>
          <w:p>
            <w:r/>
            <w:r>
              <w:rPr>
                <w:rFonts w:ascii="Calibri" w:hAnsi="Calibri" w:eastAsia="Times New Roman" w:cs="Times New Roman"/>
                <w:b/>
                <w:sz w:val="19"/>
              </w:rPr>
              <w:t>+3.43 pp</w:t>
            </w:r>
          </w:p>
        </w:tc>
      </w:tr>
      <w:tr>
        <w:tc>
          <w:tcPr>
            <w:tcW w:type="dxa" w:w="2207"/>
          </w:tcPr>
          <w:p>
            <w:r/>
            <w:r>
              <w:rPr>
                <w:rFonts w:ascii="Calibri" w:hAnsi="Calibri" w:eastAsia="Times New Roman" w:cs="Times New Roman"/>
                <w:sz w:val="19"/>
              </w:rPr>
              <w:t>fused6</w:t>
            </w:r>
          </w:p>
        </w:tc>
        <w:tc>
          <w:tcPr>
            <w:tcW w:type="dxa" w:w="2207"/>
          </w:tcPr>
          <w:p>
            <w:r/>
            <w:r>
              <w:rPr>
                <w:rFonts w:ascii="Calibri" w:hAnsi="Calibri" w:eastAsia="Times New Roman" w:cs="Times New Roman"/>
                <w:sz w:val="19"/>
              </w:rPr>
              <w:t>25</w:t>
            </w:r>
          </w:p>
        </w:tc>
        <w:tc>
          <w:tcPr>
            <w:tcW w:type="dxa" w:w="2207"/>
          </w:tcPr>
          <w:p>
            <w:r/>
            <w:r>
              <w:rPr>
                <w:rFonts w:ascii="Calibri" w:hAnsi="Calibri" w:eastAsia="Times New Roman" w:cs="Times New Roman"/>
                <w:sz w:val="19"/>
              </w:rPr>
              <w:t>0.8109 / 0.7974</w:t>
            </w:r>
          </w:p>
        </w:tc>
        <w:tc>
          <w:tcPr>
            <w:tcW w:type="dxa" w:w="2207"/>
          </w:tcPr>
          <w:p>
            <w:r/>
            <w:r>
              <w:rPr>
                <w:rFonts w:ascii="Calibri" w:hAnsi="Calibri" w:eastAsia="Times New Roman" w:cs="Times New Roman"/>
                <w:sz w:val="19"/>
              </w:rPr>
              <w:t>0.52</w:t>
            </w:r>
          </w:p>
        </w:tc>
        <w:tc>
          <w:tcPr>
            <w:tcW w:type="dxa" w:w="2207"/>
          </w:tcPr>
          <w:p>
            <w:r/>
            <w:r>
              <w:rPr>
                <w:rFonts w:ascii="Calibri" w:hAnsi="Calibri" w:eastAsia="Times New Roman" w:cs="Times New Roman"/>
                <w:sz w:val="19"/>
              </w:rPr>
              <w:t>0.8273</w:t>
            </w:r>
          </w:p>
        </w:tc>
        <w:tc>
          <w:tcPr>
            <w:tcW w:type="dxa" w:w="2207"/>
          </w:tcPr>
          <w:p>
            <w:r/>
            <w:r>
              <w:rPr>
                <w:rFonts w:ascii="Calibri" w:hAnsi="Calibri" w:eastAsia="Times New Roman" w:cs="Times New Roman"/>
                <w:sz w:val="19"/>
              </w:rPr>
              <w:t>+1.57 pp</w:t>
            </w:r>
          </w:p>
        </w:tc>
      </w:tr>
      <w:tr>
        <w:tc>
          <w:tcPr>
            <w:tcW w:type="dxa" w:w="2207"/>
          </w:tcPr>
          <w:p>
            <w:r/>
            <w:r>
              <w:rPr>
                <w:rFonts w:ascii="Calibri" w:hAnsi="Calibri" w:eastAsia="Times New Roman" w:cs="Times New Roman"/>
                <w:sz w:val="19"/>
              </w:rPr>
              <w:t>fused6</w:t>
            </w:r>
          </w:p>
        </w:tc>
        <w:tc>
          <w:tcPr>
            <w:tcW w:type="dxa" w:w="2207"/>
          </w:tcPr>
          <w:p>
            <w:r/>
            <w:r>
              <w:rPr>
                <w:rFonts w:ascii="Calibri" w:hAnsi="Calibri" w:eastAsia="Times New Roman" w:cs="Times New Roman"/>
                <w:sz w:val="19"/>
              </w:rPr>
              <w:t>50</w:t>
            </w:r>
          </w:p>
        </w:tc>
        <w:tc>
          <w:tcPr>
            <w:tcW w:type="dxa" w:w="2207"/>
          </w:tcPr>
          <w:p>
            <w:r/>
            <w:r>
              <w:rPr>
                <w:rFonts w:ascii="Calibri" w:hAnsi="Calibri" w:eastAsia="Times New Roman" w:cs="Times New Roman"/>
                <w:sz w:val="19"/>
              </w:rPr>
              <w:t>0.8810 / 0.8487</w:t>
            </w:r>
          </w:p>
        </w:tc>
        <w:tc>
          <w:tcPr>
            <w:tcW w:type="dxa" w:w="2207"/>
          </w:tcPr>
          <w:p>
            <w:r/>
            <w:r>
              <w:rPr>
                <w:rFonts w:ascii="Calibri" w:hAnsi="Calibri" w:eastAsia="Times New Roman" w:cs="Times New Roman"/>
                <w:sz w:val="19"/>
              </w:rPr>
              <w:t>0.39</w:t>
            </w:r>
          </w:p>
        </w:tc>
        <w:tc>
          <w:tcPr>
            <w:tcW w:type="dxa" w:w="2207"/>
          </w:tcPr>
          <w:p>
            <w:r/>
            <w:r>
              <w:rPr>
                <w:rFonts w:ascii="Calibri" w:hAnsi="Calibri" w:eastAsia="Times New Roman" w:cs="Times New Roman"/>
                <w:sz w:val="19"/>
              </w:rPr>
              <w:t>0.8878</w:t>
            </w:r>
          </w:p>
        </w:tc>
        <w:tc>
          <w:tcPr>
            <w:tcW w:type="dxa" w:w="2207"/>
          </w:tcPr>
          <w:p>
            <w:r/>
            <w:r>
              <w:rPr>
                <w:rFonts w:ascii="Calibri" w:hAnsi="Calibri" w:eastAsia="Times New Roman" w:cs="Times New Roman"/>
                <w:sz w:val="19"/>
              </w:rPr>
              <w:t>+0.73 pp</w:t>
            </w:r>
          </w:p>
        </w:tc>
      </w:tr>
      <w:tr>
        <w:tc>
          <w:tcPr>
            <w:tcW w:type="dxa" w:w="2207"/>
          </w:tcPr>
          <w:p>
            <w:r/>
            <w:r>
              <w:rPr>
                <w:rFonts w:ascii="Calibri" w:hAnsi="Calibri" w:eastAsia="Times New Roman" w:cs="Times New Roman"/>
                <w:sz w:val="19"/>
              </w:rPr>
              <w:t>fused6</w:t>
            </w:r>
          </w:p>
        </w:tc>
        <w:tc>
          <w:tcPr>
            <w:tcW w:type="dxa" w:w="2207"/>
          </w:tcPr>
          <w:p>
            <w:r/>
            <w:r>
              <w:rPr>
                <w:rFonts w:ascii="Calibri" w:hAnsi="Calibri" w:eastAsia="Times New Roman" w:cs="Times New Roman"/>
                <w:sz w:val="19"/>
              </w:rPr>
              <w:t>100</w:t>
            </w:r>
          </w:p>
        </w:tc>
        <w:tc>
          <w:tcPr>
            <w:tcW w:type="dxa" w:w="2207"/>
          </w:tcPr>
          <w:p>
            <w:r/>
            <w:r>
              <w:rPr>
                <w:rFonts w:ascii="Calibri" w:hAnsi="Calibri" w:eastAsia="Times New Roman" w:cs="Times New Roman"/>
                <w:sz w:val="19"/>
              </w:rPr>
              <w:t>0.9257 / 0.8748</w:t>
            </w:r>
          </w:p>
        </w:tc>
        <w:tc>
          <w:tcPr>
            <w:tcW w:type="dxa" w:w="2207"/>
          </w:tcPr>
          <w:p>
            <w:r/>
            <w:r>
              <w:rPr>
                <w:rFonts w:ascii="Calibri" w:hAnsi="Calibri" w:eastAsia="Times New Roman" w:cs="Times New Roman"/>
                <w:sz w:val="19"/>
              </w:rPr>
              <w:t>0.23</w:t>
            </w:r>
          </w:p>
        </w:tc>
        <w:tc>
          <w:tcPr>
            <w:tcW w:type="dxa" w:w="2207"/>
          </w:tcPr>
          <w:p>
            <w:r/>
            <w:r>
              <w:rPr>
                <w:rFonts w:ascii="Calibri" w:hAnsi="Calibri" w:eastAsia="Times New Roman" w:cs="Times New Roman"/>
                <w:sz w:val="19"/>
              </w:rPr>
              <w:t>0.9271</w:t>
            </w:r>
          </w:p>
        </w:tc>
        <w:tc>
          <w:tcPr>
            <w:tcW w:type="dxa" w:w="2207"/>
          </w:tcPr>
          <w:p>
            <w:r/>
            <w:r>
              <w:rPr>
                <w:rFonts w:ascii="Calibri" w:hAnsi="Calibri" w:eastAsia="Times New Roman" w:cs="Times New Roman"/>
                <w:sz w:val="19"/>
              </w:rPr>
              <w:t>+0.22 pp</w:t>
            </w:r>
          </w:p>
        </w:tc>
      </w:tr>
      <w:tr>
        <w:tc>
          <w:tcPr>
            <w:tcW w:type="dxa" w:w="2207"/>
          </w:tcPr>
          <w:p>
            <w:r/>
            <w:r>
              <w:rPr>
                <w:rFonts w:ascii="Calibri" w:hAnsi="Calibri" w:eastAsia="Times New Roman" w:cs="Times New Roman"/>
                <w:sz w:val="19"/>
              </w:rPr>
              <w:t>fused6</w:t>
            </w:r>
          </w:p>
        </w:tc>
        <w:tc>
          <w:tcPr>
            <w:tcW w:type="dxa" w:w="2207"/>
          </w:tcPr>
          <w:p>
            <w:r/>
            <w:r>
              <w:rPr>
                <w:rFonts w:ascii="Calibri" w:hAnsi="Calibri" w:eastAsia="Times New Roman" w:cs="Times New Roman"/>
                <w:sz w:val="19"/>
              </w:rPr>
              <w:t>200</w:t>
            </w:r>
          </w:p>
        </w:tc>
        <w:tc>
          <w:tcPr>
            <w:tcW w:type="dxa" w:w="2207"/>
          </w:tcPr>
          <w:p>
            <w:r/>
            <w:r>
              <w:rPr>
                <w:rFonts w:ascii="Calibri" w:hAnsi="Calibri" w:eastAsia="Times New Roman" w:cs="Times New Roman"/>
                <w:sz w:val="19"/>
              </w:rPr>
              <w:t>0.9504 / 0.8899</w:t>
            </w:r>
          </w:p>
        </w:tc>
        <w:tc>
          <w:tcPr>
            <w:tcW w:type="dxa" w:w="2207"/>
          </w:tcPr>
          <w:p>
            <w:r/>
            <w:r>
              <w:rPr>
                <w:rFonts w:ascii="Calibri" w:hAnsi="Calibri" w:eastAsia="Times New Roman" w:cs="Times New Roman"/>
                <w:sz w:val="19"/>
              </w:rPr>
              <w:t>0.12</w:t>
            </w:r>
          </w:p>
        </w:tc>
        <w:tc>
          <w:tcPr>
            <w:tcW w:type="dxa" w:w="2207"/>
          </w:tcPr>
          <w:p>
            <w:r/>
            <w:r>
              <w:rPr>
                <w:rFonts w:ascii="Calibri" w:hAnsi="Calibri" w:eastAsia="Times New Roman" w:cs="Times New Roman"/>
                <w:sz w:val="19"/>
              </w:rPr>
              <w:t>0.9502</w:t>
            </w:r>
          </w:p>
        </w:tc>
        <w:tc>
          <w:tcPr>
            <w:tcW w:type="dxa" w:w="2207"/>
          </w:tcPr>
          <w:p>
            <w:r/>
            <w:r>
              <w:rPr>
                <w:rFonts w:ascii="Calibri" w:hAnsi="Calibri" w:eastAsia="Times New Roman" w:cs="Times New Roman"/>
                <w:sz w:val="19"/>
              </w:rPr>
              <w:t>+0.05 pp</w:t>
            </w:r>
          </w:p>
        </w:tc>
      </w:tr>
      <w:tr>
        <w:tc>
          <w:tcPr>
            <w:tcW w:type="dxa" w:w="2207"/>
          </w:tcPr>
          <w:p>
            <w:r/>
            <w:r>
              <w:rPr>
                <w:rFonts w:ascii="Calibri" w:hAnsi="Calibri" w:eastAsia="Times New Roman" w:cs="Times New Roman"/>
                <w:sz w:val="19"/>
              </w:rPr>
              <w:t>fused3 (success + hint + attempt)</w:t>
            </w:r>
          </w:p>
        </w:tc>
        <w:tc>
          <w:tcPr>
            <w:tcW w:type="dxa" w:w="2207"/>
          </w:tcPr>
          <w:p>
            <w:r/>
            <w:r>
              <w:rPr>
                <w:rFonts w:ascii="Calibri" w:hAnsi="Calibri" w:eastAsia="Times New Roman" w:cs="Times New Roman"/>
                <w:sz w:val="19"/>
              </w:rPr>
              <w:t>10–200</w:t>
            </w:r>
          </w:p>
        </w:tc>
        <w:tc>
          <w:tcPr>
            <w:tcW w:type="dxa" w:w="2207"/>
          </w:tcPr>
          <w:p>
            <w:r/>
            <w:r>
              <w:rPr>
                <w:rFonts w:ascii="Calibri" w:hAnsi="Calibri" w:eastAsia="Times New Roman" w:cs="Times New Roman"/>
                <w:sz w:val="19"/>
              </w:rPr>
              <w:t>—</w:t>
            </w:r>
          </w:p>
        </w:tc>
        <w:tc>
          <w:tcPr>
            <w:tcW w:type="dxa" w:w="2207"/>
          </w:tcPr>
          <w:p>
            <w:r/>
            <w:r>
              <w:rPr>
                <w:rFonts w:ascii="Calibri" w:hAnsi="Calibri" w:eastAsia="Times New Roman" w:cs="Times New Roman"/>
                <w:sz w:val="19"/>
              </w:rPr>
              <w:t>0.04–0.08</w:t>
            </w:r>
          </w:p>
        </w:tc>
        <w:tc>
          <w:tcPr>
            <w:tcW w:type="dxa" w:w="2207"/>
          </w:tcPr>
          <w:p>
            <w:r/>
            <w:r>
              <w:rPr>
                <w:rFonts w:ascii="Calibri" w:hAnsi="Calibri" w:eastAsia="Times New Roman" w:cs="Times New Roman"/>
                <w:sz w:val="19"/>
              </w:rPr>
              <w:t>—</w:t>
            </w:r>
          </w:p>
        </w:tc>
        <w:tc>
          <w:tcPr>
            <w:tcW w:type="dxa" w:w="2207"/>
          </w:tcPr>
          <w:p>
            <w:r/>
            <w:r>
              <w:rPr>
                <w:rFonts w:ascii="Calibri" w:hAnsi="Calibri" w:eastAsia="Times New Roman" w:cs="Times New Roman"/>
                <w:sz w:val="19"/>
              </w:rPr>
              <w:t>≈ 0 (no gain)</w:t>
            </w:r>
          </w:p>
        </w:tc>
      </w:tr>
    </w:tbl>
    <w:p/>
    <w:p>
      <w:pPr>
        <w:spacing w:after="120"/>
      </w:pPr>
      <w:r>
        <w:rPr>
          <w:rFonts w:ascii="Calibri" w:hAnsi="Calibri" w:eastAsia="Times New Roman" w:cs="Times New Roman"/>
          <w:sz w:val="21"/>
        </w:rPr>
        <w:t xml:space="preserve">Three conclusions. First, </w:t>
      </w:r>
      <w:r>
        <w:rPr>
          <w:rFonts w:ascii="Calibri" w:hAnsi="Calibri" w:eastAsia="Times New Roman" w:cs="Times New Roman"/>
          <w:b/>
          <w:sz w:val="21"/>
        </w:rPr>
        <w:t>after dropping the inversely-directed signal, fusion first overtakes success rate at k = 10</w:t>
      </w:r>
      <w:r>
        <w:rPr>
          <w:rFonts w:ascii="Calibri" w:hAnsi="Calibri" w:eastAsia="Times New Roman" w:cs="Times New Roman"/>
          <w:sz w:val="21"/>
        </w:rPr>
        <w:t xml:space="preserve"> (0.6880 vs. 0.6659, +0.0220), and the lag at each k is also halved (at k = 200 from −0.1206 narrowed to −0.0605). Second, </w:t>
      </w:r>
      <w:r>
        <w:rPr>
          <w:rFonts w:ascii="Calibri" w:hAnsi="Calibri" w:eastAsia="Times New Roman" w:cs="Times New Roman"/>
          <w:b/>
          <w:sz w:val="21"/>
        </w:rPr>
        <w:t>it is not "fewer signals is better"</w:t>
      </w:r>
      <w:r>
        <w:rPr>
          <w:rFonts w:ascii="Calibri" w:hAnsi="Calibri" w:eastAsia="Times New Roman" w:cs="Times New Roman"/>
          <w:sz w:val="21"/>
        </w:rPr>
        <w:t xml:space="preserve">—fused3 instead has no gain, because the more similar the variant is to success rate, the smaller the complementary gain available; the real fix point is </w:t>
      </w:r>
      <w:r>
        <w:rPr>
          <w:rFonts w:ascii="Calibri" w:hAnsi="Calibri" w:eastAsia="Times New Roman" w:cs="Times New Roman"/>
          <w:b/>
          <w:sz w:val="21"/>
        </w:rPr>
        <w:t>direction checking</w:t>
      </w:r>
      <w:r>
        <w:rPr>
          <w:rFonts w:ascii="Calibri" w:hAnsi="Calibri" w:eastAsia="Times New Roman" w:cs="Times New Roman"/>
          <w:sz w:val="21"/>
        </w:rPr>
        <w:t>, not reducing the signal count. Third, the gain is highly sample-size dependent, leading to the next section.</w:t>
      </w:r>
    </w:p>
    <w:p>
      <w:pPr>
        <w:pStyle w:val="Heading2"/>
        <w:spacing w:before="120" w:after="80"/>
      </w:pPr>
      <w:r>
        <w:rPr>
          <w:rFonts w:ascii="Calibri" w:hAnsi="Calibri" w:eastAsia="Times New Roman" w:cs="Times New Roman"/>
          <w:sz w:val="27"/>
        </w:rPr>
        <w:t>7.4 Sample-size-adaptive shrinkage λ*(k)</w:t>
      </w:r>
    </w:p>
    <w:p>
      <w:pPr>
        <w:spacing w:after="120"/>
      </w:pPr>
      <w:r>
        <w:rPr>
          <w:rFonts w:ascii="Calibri" w:hAnsi="Calibri" w:eastAsia="Times New Roman" w:cs="Times New Roman"/>
          <w:sz w:val="21"/>
        </w:rPr>
        <w:t>λ* falls monotonically from 0.70 at k = 10 to 0.12 at k = 200, showing that "what fraction fusion should occupy" is a function of sample size. The fitted form is</w:t>
      </w:r>
    </w:p>
    <w:p>
      <w:pPr>
        <w:spacing w:after="120"/>
      </w:pPr>
      <w:r>
        <w:rPr>
          <w:rFonts w:ascii="Calibri" w:hAnsi="Calibri" w:eastAsia="Times New Roman" w:cs="Times New Roman"/>
          <w:b/>
          <w:sz w:val="21"/>
        </w:rPr>
        <w:t>λ*(k) = 1 / (1 + (k / 27.4)^0.902), R² = 0.9989</w:t>
      </w:r>
      <w:r>
        <w:rPr>
          <w:rFonts w:ascii="Calibri" w:hAnsi="Calibri" w:eastAsia="Times New Roman" w:cs="Times New Roman"/>
          <w:sz w:val="21"/>
        </w:rPr>
        <w:t>,</w:t>
      </w:r>
    </w:p>
    <w:p>
      <w:pPr>
        <w:spacing w:after="120"/>
      </w:pPr>
      <w:r>
        <w:rPr>
          <w:rFonts w:ascii="Calibri" w:hAnsi="Calibri" w:eastAsia="Times New Roman" w:cs="Times New Roman"/>
          <w:sz w:val="21"/>
        </w:rPr>
        <w:t>with observed values 0.701 / 0.524 / 0.387 / 0.234 / 0.125 corresponding to fitted 0.713 / 0.521 / 0.368 / 0.237 / 0.143. Whether this fit can be deployed directly (rather than holding only on the k's that participated in the fit) is answered by the leave-one-k cross-validation (in-interval interpolation) test of §7.5.</w:t>
      </w:r>
    </w:p>
    <w:p>
      <w:pPr>
        <w:spacing w:after="120"/>
      </w:pPr>
      <w:r>
        <w:rPr>
          <w:rFonts w:ascii="Calibri" w:hAnsi="Calibri" w:eastAsia="Times New Roman" w:cs="Times New Roman"/>
          <w:sz w:val="21"/>
        </w:rPr>
        <w:t>The recommended estimator we thereby give is:</w:t>
      </w:r>
    </w:p>
    <w:p>
      <w:pPr>
        <w:spacing w:before="80" w:after="80"/>
        <w:ind w:left="240"/>
        <w:shd w:val="clear" w:color="auto" w:fill="F2F2F2"/>
        <w:wordWrap w:val="false"/>
      </w:pPr>
      <w:r>
        <w:rPr>
          <w:rFonts w:ascii="Consolas" w:hAnsi="Consolas" w:eastAsia="Times New Roman" w:cs="Times New Roman"/>
          <w:sz w:val="18"/>
        </w:rPr>
        <w:t>score(item) = (1 − λ) · z_success(item) + λ · Σ_{s ∈ 7 signals} w_s · sgn_s · z_s(item)</w:t>
      </w:r>
      <w:r>
        <w:rPr>
          <w:rFonts w:ascii="Consolas" w:hAnsi="Consolas" w:eastAsia="Times New Roman" w:cs="Times New Roman"/>
          <w:sz w:val="18"/>
        </w:rPr>
        <w:br/>
        <w:t>sgn_s = sign(Spearman(z_s, z_success))      # direction correction; success itself sgn = +1</w:t>
      </w:r>
      <w:r>
        <w:rPr>
          <w:rFonts w:ascii="Consolas" w:hAnsi="Consolas" w:eastAsia="Times New Roman" w:cs="Times New Roman"/>
          <w:sz w:val="18"/>
        </w:rPr>
        <w:br/>
        <w:t>w_s   = max(0, split_half_reliability_s) normalized   # split-half reliability estimated within fit block A</w:t>
      </w:r>
      <w:r>
        <w:rPr>
          <w:rFonts w:ascii="Consolas" w:hAnsi="Consolas" w:eastAsia="Times New Roman" w:cs="Times New Roman"/>
          <w:sz w:val="18"/>
        </w:rPr>
        <w:br/>
        <w:t>λ = 1 / (1 + (k / 27.3)^0.895)              # deployed uses 27.3 (O9 leave-one-k CV fit value 27.332 rounded); full-fit 27.4 / 0.902</w:t>
      </w:r>
      <w:r>
        <w:rPr>
          <w:rFonts w:ascii="Consolas" w:hAnsi="Consolas" w:eastAsia="Times New Roman" w:cs="Times New Roman"/>
          <w:sz w:val="18"/>
        </w:rPr>
        <w:br/>
        <w:t>signal set = all 7 signals (including upgrade rate, corrected to negative contribution)</w:t>
      </w:r>
      <w:r>
        <w:rPr>
          <w:rFonts w:ascii="Consolas" w:hAnsi="Consolas" w:eastAsia="Times New Roman" w:cs="Times New Roman"/>
          <w:sz w:val="18"/>
        </w:rPr>
        <w:br/>
        <w:t>z_s = ECDF → logit (O1's monotone-reparameterisation-invariant metric)</w:t>
      </w:r>
    </w:p>
    <w:p>
      <w:pPr>
        <w:spacing w:after="120"/>
      </w:pPr>
      <w:r>
        <w:rPr>
          <w:rFonts w:ascii="Calibri" w:hAnsi="Calibri" w:eastAsia="Times New Roman" w:cs="Times New Roman"/>
          <w:sz w:val="21"/>
        </w:rPr>
        <w:t xml:space="preserve">Here λ's parameters take the </w:t>
      </w:r>
      <w:r>
        <w:rPr>
          <w:rFonts w:ascii="Calibri" w:hAnsi="Calibri" w:eastAsia="Times New Roman" w:cs="Times New Roman"/>
          <w:b/>
          <w:sz w:val="21"/>
        </w:rPr>
        <w:t>leave-one-k cross-validation fit value</w:t>
      </w:r>
      <w:r>
        <w:rPr>
          <w:rFonts w:ascii="Calibri" w:hAnsi="Calibri" w:eastAsia="Times New Roman" w:cs="Times New Roman"/>
          <w:sz w:val="21"/>
        </w:rPr>
        <w:t xml:space="preserve"> (k₀ = </w:t>
      </w:r>
      <w:r>
        <w:rPr>
          <w:rFonts w:ascii="Calibri" w:hAnsi="Calibri" w:eastAsia="Times New Roman" w:cs="Times New Roman"/>
          <w:b/>
          <w:sz w:val="21"/>
        </w:rPr>
        <w:t>27.332</w:t>
      </w:r>
      <w:r>
        <w:rPr>
          <w:rFonts w:ascii="Calibri" w:hAnsi="Calibri" w:eastAsia="Times New Roman" w:cs="Times New Roman"/>
          <w:sz w:val="21"/>
        </w:rPr>
        <w:t xml:space="preserve">, p = 0.895), and the </w:t>
      </w:r>
      <w:r>
        <w:rPr>
          <w:rFonts w:ascii="Calibri" w:hAnsi="Calibri" w:eastAsia="Times New Roman" w:cs="Times New Roman"/>
          <w:b/>
          <w:sz w:val="21"/>
        </w:rPr>
        <w:t>deployed value is 27.3</w:t>
      </w:r>
      <w:r>
        <w:rPr>
          <w:rFonts w:ascii="Calibri" w:hAnsi="Calibri" w:eastAsia="Times New Roman" w:cs="Times New Roman"/>
          <w:sz w:val="21"/>
        </w:rPr>
        <w:t xml:space="preserve"> (i.e., the rounded value of the fit 27.332), not the full-fit value above (27.4 / 0.902); the two are nearly identical, showing the curve shape is stable, but the full-fit value both fits and evaluates on the same batch of k, so the cross-validation value is preferred at deployment. This closed form is likewise a fit to O8's fused6 per-k empirical λ</w:t>
      </w:r>
      <w:r>
        <w:rPr>
          <w:rFonts w:ascii="Calibri" w:hAnsi="Calibri" w:eastAsia="Times New Roman" w:cs="Times New Roman"/>
          <w:i/>
          <w:sz w:val="21"/>
        </w:rPr>
        <w:t>(k) (λ's method and the fusion kernel are independent; O11 confirms the closed-form λ_cf applies to the `srw7` kernel too, see §7.8), and the leave-one-k cross-validation confirms the in-interval interpolation generalisation of the empirical λ</w:t>
      </w:r>
      <w:r>
        <w:rPr>
          <w:rFonts w:ascii="Calibri" w:hAnsi="Calibri" w:eastAsia="Times New Roman" w:cs="Times New Roman"/>
          <w:sz w:val="21"/>
        </w:rPr>
        <w:t xml:space="preserve">, not a direct verification of the closed form itself—that direct verification has now been added: fixing λ_cf(k)=1/(1+(k/27.3)^0.895) into the same holdout protocol (not fitting λ on data, evaluating on the held-out half), its holdout Spearman gap vs. the empirical optimal-λ version at k=10/25/50/100/200 is +0.34/−0.55/+0.12/+0.01/+0.07 pp (all ≤0.55 pp), confirming the closed form is deployable without per-k λ fitting. The next section gives the empirical basis for this choice. All signs, weights, and λ in the above estimator are estimated </w:t>
      </w:r>
      <w:r>
        <w:rPr>
          <w:rFonts w:ascii="Calibri" w:hAnsi="Calibri" w:eastAsia="Times New Roman" w:cs="Times New Roman"/>
          <w:b/>
          <w:sz w:val="21"/>
        </w:rPr>
        <w:t>only within fit block A</w:t>
      </w:r>
      <w:r>
        <w:rPr>
          <w:rFonts w:ascii="Calibri" w:hAnsi="Calibri" w:eastAsia="Times New Roman" w:cs="Times New Roman"/>
          <w:sz w:val="21"/>
        </w:rPr>
        <w:t>; criterion block B is entirely uninvolved, so there is no leakage; this is jointly guaranteed by the §7.8 holdout protocol and O11's item-by-item reproduction.</w:t>
      </w:r>
    </w:p>
    <w:p>
      <w:pPr>
        <w:pStyle w:val="Heading2"/>
        <w:spacing w:before="120" w:after="80"/>
      </w:pPr>
      <w:r>
        <w:rPr>
          <w:rFonts w:ascii="Calibri" w:hAnsi="Calibri" w:eastAsia="Times New Roman" w:cs="Times New Roman"/>
          <w:sz w:val="27"/>
        </w:rPr>
        <w:t>7.5 Leave-one-k cross-validation of λ*(k) (O9): in-interval interpolation test, formula directly deployable</w:t>
      </w:r>
    </w:p>
    <w:p>
      <w:pPr>
        <w:spacing w:after="120"/>
      </w:pPr>
      <w:r>
        <w:rPr>
          <w:rFonts w:ascii="Calibri" w:hAnsi="Calibri" w:eastAsia="Times New Roman" w:cs="Times New Roman"/>
          <w:sz w:val="21"/>
        </w:rPr>
        <w:t>The λ</w:t>
      </w:r>
      <w:r>
        <w:rPr>
          <w:rFonts w:ascii="Calibri" w:hAnsi="Calibri" w:eastAsia="Times New Roman" w:cs="Times New Roman"/>
          <w:i/>
          <w:sz w:val="21"/>
        </w:rPr>
        <w:t>(k) of §7.4 was both fit and evaluated on the same batch of k, and cannot be taken directly as a deployment rule. The first test of O9 is precisely for this: fit (k₀, p) using only λ</w:t>
      </w:r>
      <w:r>
        <w:rPr>
          <w:rFonts w:ascii="Calibri" w:hAnsi="Calibri" w:eastAsia="Times New Roman" w:cs="Times New Roman"/>
          <w:sz w:val="21"/>
        </w:rPr>
        <w:t xml:space="preserve"> from k ∈ {10, 50, 200}, then evaluate at k = 25 and k = 100—which lie </w:t>
      </w:r>
      <w:r>
        <w:rPr>
          <w:rFonts w:ascii="Calibri" w:hAnsi="Calibri" w:eastAsia="Times New Roman" w:cs="Times New Roman"/>
          <w:b/>
          <w:sz w:val="21"/>
        </w:rPr>
        <w:t>within</w:t>
      </w:r>
      <w:r>
        <w:rPr>
          <w:rFonts w:ascii="Calibri" w:hAnsi="Calibri" w:eastAsia="Times New Roman" w:cs="Times New Roman"/>
          <w:sz w:val="21"/>
        </w:rPr>
        <w:t xml:space="preserve"> the fit interval [10, 200]—by </w:t>
      </w:r>
      <w:r>
        <w:rPr>
          <w:rFonts w:ascii="Calibri" w:hAnsi="Calibri" w:eastAsia="Times New Roman" w:cs="Times New Roman"/>
          <w:b/>
          <w:sz w:val="21"/>
        </w:rPr>
        <w:t>holding out for validation</w:t>
      </w:r>
      <w:r>
        <w:rPr>
          <w:rFonts w:ascii="Calibri" w:hAnsi="Calibri" w:eastAsia="Times New Roman" w:cs="Times New Roman"/>
          <w:sz w:val="21"/>
        </w:rPr>
        <w:t xml:space="preserve"> (in-interval interpolation, not out-of-interval extrapolation; the true out-of-sample test is the half-split holdout, see §7.6).</w:t>
      </w:r>
    </w:p>
    <w:p>
      <w:pPr>
        <w:spacing w:after="120"/>
      </w:pPr>
      <w:r>
        <w:rPr>
          <w:rFonts w:ascii="Calibri" w:hAnsi="Calibri" w:eastAsia="Times New Roman" w:cs="Times New Roman"/>
          <w:b/>
          <w:sz w:val="21"/>
        </w:rPr>
        <w:t>Table 22. O9: leave-one-k cross-validation of λ*(k) (in-interval interpolation)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655"/>
        <w:gridCol w:w="1655"/>
        <w:gridCol w:w="1655"/>
        <w:gridCol w:w="1655"/>
        <w:gridCol w:w="1655"/>
        <w:gridCol w:w="1655"/>
        <w:gridCol w:w="1655"/>
        <w:gridCol w:w="1655"/>
      </w:tblGrid>
      <w:tr>
        <w:tc>
          <w:tcPr>
            <w:tcW w:type="dxa" w:w="1655"/>
            <w:shd w:val="clear" w:color="auto" w:fill="DDDDDD"/>
          </w:tcPr>
          <w:p>
            <w:r>
              <w:rPr>
                <w:b/>
              </w:rPr>
            </w:r>
            <w:r>
              <w:rPr>
                <w:rFonts w:ascii="Calibri" w:hAnsi="Calibri" w:eastAsia="Times New Roman" w:cs="Times New Roman"/>
                <w:b/>
                <w:sz w:val="19"/>
              </w:rPr>
              <w:t>Validation k (in-interval)</w:t>
            </w:r>
          </w:p>
        </w:tc>
        <w:tc>
          <w:tcPr>
            <w:tcW w:type="dxa" w:w="1655"/>
            <w:shd w:val="clear" w:color="auto" w:fill="DDDDDD"/>
          </w:tcPr>
          <w:p>
            <w:r>
              <w:rPr>
                <w:b/>
              </w:rPr>
            </w:r>
            <w:r>
              <w:rPr>
                <w:rFonts w:ascii="Calibri" w:hAnsi="Calibri" w:eastAsia="Times New Roman" w:cs="Times New Roman"/>
                <w:b/>
                <w:sz w:val="19"/>
              </w:rPr>
              <w:t>λ̂ (formula)</w:t>
            </w:r>
          </w:p>
        </w:tc>
        <w:tc>
          <w:tcPr>
            <w:tcW w:type="dxa" w:w="1655"/>
            <w:shd w:val="clear" w:color="auto" w:fill="DDDDDD"/>
          </w:tcPr>
          <w:p>
            <w:r>
              <w:rPr>
                <w:b/>
              </w:rPr>
            </w:r>
            <w:r>
              <w:rPr>
                <w:rFonts w:ascii="Calibri" w:hAnsi="Calibri" w:eastAsia="Times New Roman" w:cs="Times New Roman"/>
                <w:b/>
                <w:sz w:val="19"/>
              </w:rPr>
              <w:t>λ*_emp (half-split picked)</w:t>
            </w:r>
          </w:p>
        </w:tc>
        <w:tc>
          <w:tcPr>
            <w:tcW w:type="dxa" w:w="1655"/>
            <w:shd w:val="clear" w:color="auto" w:fill="DDDDDD"/>
          </w:tcPr>
          <w:p>
            <w:r>
              <w:rPr>
                <w:b/>
              </w:rPr>
            </w:r>
            <w:r>
              <w:rPr>
                <w:rFonts w:ascii="Calibri" w:hAnsi="Calibri" w:eastAsia="Times New Roman" w:cs="Times New Roman"/>
                <w:b/>
                <w:sz w:val="19"/>
              </w:rPr>
              <w:t>ρ(λ=0)</w:t>
            </w:r>
          </w:p>
        </w:tc>
        <w:tc>
          <w:tcPr>
            <w:tcW w:type="dxa" w:w="1655"/>
            <w:shd w:val="clear" w:color="auto" w:fill="DDDDDD"/>
          </w:tcPr>
          <w:p>
            <w:r>
              <w:rPr>
                <w:b/>
              </w:rPr>
            </w:r>
            <w:r>
              <w:rPr>
                <w:rFonts w:ascii="Calibri" w:hAnsi="Calibri" w:eastAsia="Times New Roman" w:cs="Times New Roman"/>
                <w:b/>
                <w:sz w:val="19"/>
              </w:rPr>
              <w:t>ρ(λ̂)</w:t>
            </w:r>
          </w:p>
        </w:tc>
        <w:tc>
          <w:tcPr>
            <w:tcW w:type="dxa" w:w="1655"/>
            <w:shd w:val="clear" w:color="auto" w:fill="DDDDDD"/>
          </w:tcPr>
          <w:p>
            <w:r>
              <w:rPr>
                <w:b/>
              </w:rPr>
            </w:r>
            <w:r>
              <w:rPr>
                <w:rFonts w:ascii="Calibri" w:hAnsi="Calibri" w:eastAsia="Times New Roman" w:cs="Times New Roman"/>
                <w:b/>
                <w:sz w:val="19"/>
              </w:rPr>
              <w:t>formula gain</w:t>
            </w:r>
          </w:p>
        </w:tc>
        <w:tc>
          <w:tcPr>
            <w:tcW w:type="dxa" w:w="1655"/>
            <w:shd w:val="clear" w:color="auto" w:fill="DDDDDD"/>
          </w:tcPr>
          <w:p>
            <w:r>
              <w:rPr>
                <w:b/>
              </w:rPr>
            </w:r>
            <w:r>
              <w:rPr>
                <w:rFonts w:ascii="Calibri" w:hAnsi="Calibri" w:eastAsia="Times New Roman" w:cs="Times New Roman"/>
                <w:b/>
                <w:sz w:val="19"/>
              </w:rPr>
              <w:t>empirical gain</w:t>
            </w:r>
          </w:p>
        </w:tc>
        <w:tc>
          <w:tcPr>
            <w:tcW w:type="dxa" w:w="1655"/>
            <w:shd w:val="clear" w:color="auto" w:fill="DDDDDD"/>
          </w:tcPr>
          <w:p>
            <w:r>
              <w:rPr>
                <w:b/>
              </w:rPr>
            </w:r>
            <w:r>
              <w:rPr>
                <w:rFonts w:ascii="Calibri" w:hAnsi="Calibri" w:eastAsia="Times New Roman" w:cs="Times New Roman"/>
                <w:b/>
                <w:sz w:val="19"/>
              </w:rPr>
              <w:t>retention ratio</w:t>
            </w:r>
          </w:p>
        </w:tc>
      </w:tr>
      <w:tr>
        <w:tc>
          <w:tcPr>
            <w:tcW w:type="dxa" w:w="1655"/>
          </w:tcPr>
          <w:p>
            <w:r/>
            <w:r>
              <w:rPr>
                <w:rFonts w:ascii="Calibri" w:hAnsi="Calibri" w:eastAsia="Times New Roman" w:cs="Times New Roman"/>
                <w:sz w:val="19"/>
              </w:rPr>
              <w:t>25</w:t>
            </w:r>
          </w:p>
        </w:tc>
        <w:tc>
          <w:tcPr>
            <w:tcW w:type="dxa" w:w="1655"/>
          </w:tcPr>
          <w:p>
            <w:r/>
            <w:r>
              <w:rPr>
                <w:rFonts w:ascii="Calibri" w:hAnsi="Calibri" w:eastAsia="Times New Roman" w:cs="Times New Roman"/>
                <w:sz w:val="19"/>
              </w:rPr>
              <w:t>0.520</w:t>
            </w:r>
          </w:p>
        </w:tc>
        <w:tc>
          <w:tcPr>
            <w:tcW w:type="dxa" w:w="1655"/>
          </w:tcPr>
          <w:p>
            <w:r/>
            <w:r>
              <w:rPr>
                <w:rFonts w:ascii="Calibri" w:hAnsi="Calibri" w:eastAsia="Times New Roman" w:cs="Times New Roman"/>
                <w:sz w:val="19"/>
              </w:rPr>
              <w:t>0.536</w:t>
            </w:r>
          </w:p>
        </w:tc>
        <w:tc>
          <w:tcPr>
            <w:tcW w:type="dxa" w:w="1655"/>
          </w:tcPr>
          <w:p>
            <w:r/>
            <w:r>
              <w:rPr>
                <w:rFonts w:ascii="Calibri" w:hAnsi="Calibri" w:eastAsia="Times New Roman" w:cs="Times New Roman"/>
                <w:sz w:val="19"/>
              </w:rPr>
              <w:t>0.8103</w:t>
            </w:r>
          </w:p>
        </w:tc>
        <w:tc>
          <w:tcPr>
            <w:tcW w:type="dxa" w:w="1655"/>
          </w:tcPr>
          <w:p>
            <w:r/>
            <w:r>
              <w:rPr>
                <w:rFonts w:ascii="Calibri" w:hAnsi="Calibri" w:eastAsia="Times New Roman" w:cs="Times New Roman"/>
                <w:b/>
                <w:sz w:val="19"/>
              </w:rPr>
              <w:t>0.8272</w:t>
            </w:r>
          </w:p>
        </w:tc>
        <w:tc>
          <w:tcPr>
            <w:tcW w:type="dxa" w:w="1655"/>
          </w:tcPr>
          <w:p>
            <w:r/>
            <w:r>
              <w:rPr>
                <w:rFonts w:ascii="Calibri" w:hAnsi="Calibri" w:eastAsia="Times New Roman" w:cs="Times New Roman"/>
                <w:b/>
                <w:sz w:val="19"/>
              </w:rPr>
              <w:t>+1.695 pp</w:t>
            </w:r>
          </w:p>
        </w:tc>
        <w:tc>
          <w:tcPr>
            <w:tcW w:type="dxa" w:w="1655"/>
          </w:tcPr>
          <w:p>
            <w:r/>
            <w:r>
              <w:rPr>
                <w:rFonts w:ascii="Calibri" w:hAnsi="Calibri" w:eastAsia="Times New Roman" w:cs="Times New Roman"/>
                <w:sz w:val="19"/>
              </w:rPr>
              <w:t>+1.528 pp</w:t>
            </w:r>
          </w:p>
        </w:tc>
        <w:tc>
          <w:tcPr>
            <w:tcW w:type="dxa" w:w="1655"/>
          </w:tcPr>
          <w:p>
            <w:r/>
            <w:r>
              <w:rPr>
                <w:rFonts w:ascii="Calibri" w:hAnsi="Calibri" w:eastAsia="Times New Roman" w:cs="Times New Roman"/>
                <w:b/>
                <w:sz w:val="19"/>
              </w:rPr>
              <w:t>111%</w:t>
            </w:r>
          </w:p>
        </w:tc>
      </w:tr>
      <w:tr>
        <w:tc>
          <w:tcPr>
            <w:tcW w:type="dxa" w:w="1655"/>
          </w:tcPr>
          <w:p>
            <w:r/>
            <w:r>
              <w:rPr>
                <w:rFonts w:ascii="Calibri" w:hAnsi="Calibri" w:eastAsia="Times New Roman" w:cs="Times New Roman"/>
                <w:sz w:val="19"/>
              </w:rPr>
              <w:t>100</w:t>
            </w:r>
          </w:p>
        </w:tc>
        <w:tc>
          <w:tcPr>
            <w:tcW w:type="dxa" w:w="1655"/>
          </w:tcPr>
          <w:p>
            <w:r/>
            <w:r>
              <w:rPr>
                <w:rFonts w:ascii="Calibri" w:hAnsi="Calibri" w:eastAsia="Times New Roman" w:cs="Times New Roman"/>
                <w:sz w:val="19"/>
              </w:rPr>
              <w:t>0.239</w:t>
            </w:r>
          </w:p>
        </w:tc>
        <w:tc>
          <w:tcPr>
            <w:tcW w:type="dxa" w:w="1655"/>
          </w:tcPr>
          <w:p>
            <w:r/>
            <w:r>
              <w:rPr>
                <w:rFonts w:ascii="Calibri" w:hAnsi="Calibri" w:eastAsia="Times New Roman" w:cs="Times New Roman"/>
                <w:sz w:val="19"/>
              </w:rPr>
              <w:t>0.230</w:t>
            </w:r>
          </w:p>
        </w:tc>
        <w:tc>
          <w:tcPr>
            <w:tcW w:type="dxa" w:w="1655"/>
          </w:tcPr>
          <w:p>
            <w:r/>
            <w:r>
              <w:rPr>
                <w:rFonts w:ascii="Calibri" w:hAnsi="Calibri" w:eastAsia="Times New Roman" w:cs="Times New Roman"/>
                <w:sz w:val="19"/>
              </w:rPr>
              <w:t>0.9262</w:t>
            </w:r>
          </w:p>
        </w:tc>
        <w:tc>
          <w:tcPr>
            <w:tcW w:type="dxa" w:w="1655"/>
          </w:tcPr>
          <w:p>
            <w:r/>
            <w:r>
              <w:rPr>
                <w:rFonts w:ascii="Calibri" w:hAnsi="Calibri" w:eastAsia="Times New Roman" w:cs="Times New Roman"/>
                <w:b/>
                <w:sz w:val="19"/>
              </w:rPr>
              <w:t>0.9286</w:t>
            </w:r>
          </w:p>
        </w:tc>
        <w:tc>
          <w:tcPr>
            <w:tcW w:type="dxa" w:w="1655"/>
          </w:tcPr>
          <w:p>
            <w:r/>
            <w:r>
              <w:rPr>
                <w:rFonts w:ascii="Calibri" w:hAnsi="Calibri" w:eastAsia="Times New Roman" w:cs="Times New Roman"/>
                <w:b/>
                <w:sz w:val="19"/>
              </w:rPr>
              <w:t>+0.237 pp</w:t>
            </w:r>
          </w:p>
        </w:tc>
        <w:tc>
          <w:tcPr>
            <w:tcW w:type="dxa" w:w="1655"/>
          </w:tcPr>
          <w:p>
            <w:r/>
            <w:r>
              <w:rPr>
                <w:rFonts w:ascii="Calibri" w:hAnsi="Calibri" w:eastAsia="Times New Roman" w:cs="Times New Roman"/>
                <w:sz w:val="19"/>
              </w:rPr>
              <w:t>+0.186 pp</w:t>
            </w:r>
          </w:p>
        </w:tc>
        <w:tc>
          <w:tcPr>
            <w:tcW w:type="dxa" w:w="1655"/>
          </w:tcPr>
          <w:p>
            <w:r/>
            <w:r>
              <w:rPr>
                <w:rFonts w:ascii="Calibri" w:hAnsi="Calibri" w:eastAsia="Times New Roman" w:cs="Times New Roman"/>
                <w:b/>
                <w:sz w:val="19"/>
              </w:rPr>
              <w:t>128%</w:t>
            </w:r>
          </w:p>
        </w:tc>
      </w:tr>
    </w:tbl>
    <w:p/>
    <w:p>
      <w:pPr>
        <w:spacing w:after="120"/>
      </w:pPr>
      <w:r>
        <w:rPr>
          <w:rFonts w:ascii="Calibri" w:hAnsi="Calibri" w:eastAsia="Times New Roman" w:cs="Times New Roman"/>
          <w:sz w:val="21"/>
        </w:rPr>
        <w:t xml:space="preserve">The fit parameters (leave-one-k cross-validation) are k₀ = 27.332, p = 0.895, nearly identical to the full-fit 27.4 / 0.902, showing the curve shape is stable. </w:t>
      </w:r>
      <w:r>
        <w:rPr>
          <w:rFonts w:ascii="Calibri" w:hAnsi="Calibri" w:eastAsia="Times New Roman" w:cs="Times New Roman"/>
          <w:b/>
          <w:sz w:val="21"/>
        </w:rPr>
        <w:t>The formula's in-interval λ̂ is slightly better than the half-split-picked empirical λ</w:t>
      </w:r>
      <w:r>
        <w:rPr>
          <w:rFonts w:ascii="Calibri" w:hAnsi="Calibri" w:eastAsia="Times New Roman" w:cs="Times New Roman"/>
          <w:i/>
          <w:sz w:val="21"/>
        </w:rPr>
        <w:t xml:space="preserve"> (retention ratios 111% and 128%), because the empirical λ</w:t>
      </w:r>
      <w:r>
        <w:rPr>
          <w:rFonts w:ascii="Calibri" w:hAnsi="Calibri" w:eastAsia="Times New Roman" w:cs="Times New Roman"/>
          <w:sz w:val="21"/>
        </w:rPr>
        <w:t xml:space="preserve"> carries its own selection noise. </w:t>
      </w:r>
      <w:r>
        <w:rPr>
          <w:rFonts w:ascii="Calibri" w:hAnsi="Calibri" w:eastAsia="Times New Roman" w:cs="Times New Roman"/>
          <w:b/>
          <w:sz w:val="21"/>
        </w:rPr>
        <w:t>Conclusion: λ*(k) can be used directly without re-tuning at deployment.</w:t>
      </w:r>
    </w:p>
    <w:p>
      <w:pPr>
        <w:pStyle w:val="Heading2"/>
        <w:spacing w:before="120" w:after="80"/>
      </w:pPr>
      <w:r>
        <w:rPr>
          <w:rFonts w:ascii="Calibri" w:hAnsi="Calibri" w:eastAsia="Times New Roman" w:cs="Times New Roman"/>
          <w:sz w:val="27"/>
        </w:rPr>
        <w:t>7.6 Student-level holdout validation (O10): empirical test of the record-level concern</w:t>
      </w:r>
    </w:p>
    <w:p>
      <w:pPr>
        <w:spacing w:after="120"/>
      </w:pPr>
      <w:r>
        <w:rPr>
          <w:rFonts w:ascii="Calibri" w:hAnsi="Calibri" w:eastAsia="Times New Roman" w:cs="Times New Roman"/>
          <w:sz w:val="21"/>
        </w:rPr>
        <w:t xml:space="preserve">The holdout validation in §7.2 split </w:t>
      </w:r>
      <w:r>
        <w:rPr>
          <w:rFonts w:ascii="Calibri" w:hAnsi="Calibri" w:eastAsia="Times New Roman" w:cs="Times New Roman"/>
          <w:b/>
          <w:sz w:val="21"/>
        </w:rPr>
        <w:t>records</w:t>
      </w:r>
      <w:r>
        <w:rPr>
          <w:rFonts w:ascii="Calibri" w:hAnsi="Calibri" w:eastAsia="Times New Roman" w:cs="Times New Roman"/>
          <w:sz w:val="21"/>
        </w:rPr>
        <w:t xml:space="preserve">, not </w:t>
      </w:r>
      <w:r>
        <w:rPr>
          <w:rFonts w:ascii="Calibri" w:hAnsi="Calibri" w:eastAsia="Times New Roman" w:cs="Times New Roman"/>
          <w:b/>
          <w:sz w:val="21"/>
        </w:rPr>
        <w:t>students</w:t>
      </w:r>
      <w:r>
        <w:rPr>
          <w:rFonts w:ascii="Calibri" w:hAnsi="Calibri" w:eastAsia="Times New Roman" w:cs="Times New Roman"/>
          <w:sz w:val="21"/>
        </w:rPr>
        <w:t xml:space="preserve">: the same student's multiple responses could fall into both blocks A and B, so the two errors are not independent, making "optimistic generalisation estimate" a reasonable attack. O10 directly addresses this gap: split the 72,758 students into mutually exclusive halves by </w:t>
      </w:r>
      <w:r>
        <w:rPr>
          <w:rFonts w:ascii="Calibri" w:hAnsi="Calibri" w:eastAsia="Times New Roman" w:cs="Times New Roman"/>
          <w:b/>
          <w:sz w:val="21"/>
        </w:rPr>
        <w:t>crc32(uuid) parity</w:t>
      </w:r>
      <w:r>
        <w:rPr>
          <w:rFonts w:ascii="Calibri" w:hAnsi="Calibri" w:eastAsia="Times New Roman" w:cs="Times New Roman"/>
          <w:sz w:val="21"/>
        </w:rPr>
        <w:t xml:space="preserve">, estimate using only half A students' first k responses on the exercise (in-half reservoir 250), and compute the true difficulty 1 − ok_B/n_B using </w:t>
      </w:r>
      <w:r>
        <w:rPr>
          <w:rFonts w:ascii="Calibri" w:hAnsi="Calibri" w:eastAsia="Times New Roman" w:cs="Times New Roman"/>
          <w:b/>
          <w:sz w:val="21"/>
        </w:rPr>
        <w:t>all</w:t>
      </w:r>
      <w:r>
        <w:rPr>
          <w:rFonts w:ascii="Calibri" w:hAnsi="Calibri" w:eastAsia="Times New Roman" w:cs="Times New Roman"/>
          <w:sz w:val="21"/>
        </w:rPr>
        <w:t xml:space="preserve"> of half B students' responses (≥500); include </w:t>
      </w:r>
      <w:r>
        <w:rPr>
          <w:rFonts w:ascii="Calibri" w:hAnsi="Calibri" w:eastAsia="Times New Roman" w:cs="Times New Roman"/>
          <w:b/>
          <w:sz w:val="21"/>
        </w:rPr>
        <w:t>1,238 exercises</w:t>
      </w:r>
      <w:r>
        <w:rPr>
          <w:rFonts w:ascii="Calibri" w:hAnsi="Calibri" w:eastAsia="Times New Roman" w:cs="Times New Roman"/>
          <w:sz w:val="21"/>
        </w:rPr>
        <w:t xml:space="preserve"> (criterion half requires ≥500 responses, different from the 1,234 caliber in §6.3), 25 repeats × 20 half-splits.</w:t>
      </w:r>
    </w:p>
    <w:p>
      <w:pPr>
        <w:spacing w:before="40" w:after="40"/>
        <w:ind w:left="360"/>
        <w:pBdr>
          <w:left w:val="single" w:sz="12" w:space="6" w:color="888888"/>
        </w:pBdr>
      </w:pPr>
      <w:r>
        <w:rPr>
          <w:rFonts w:ascii="Calibri" w:hAnsi="Calibri" w:eastAsia="Times New Roman" w:cs="Times New Roman"/>
          <w:b/>
          <w:i/>
          <w:color w:val="555555"/>
          <w:sz w:val="19"/>
        </w:rPr>
        <w:t>Implementation note (part of reproducibility):</w:t>
      </w:r>
      <w:r>
        <w:rPr>
          <w:rFonts w:ascii="Calibri" w:hAnsi="Calibri" w:eastAsia="Times New Roman" w:cs="Times New Roman"/>
          <w:i/>
          <w:color w:val="555555"/>
          <w:sz w:val="19"/>
        </w:rPr>
        <w:t xml:space="preserve"> student half-splitting </w:t>
      </w:r>
      <w:r>
        <w:rPr>
          <w:rFonts w:ascii="Calibri" w:hAnsi="Calibri" w:eastAsia="Times New Roman" w:cs="Times New Roman"/>
          <w:b/>
          <w:i/>
          <w:color w:val="555555"/>
          <w:sz w:val="19"/>
        </w:rPr>
        <w:t>must not</w:t>
      </w:r>
      <w:r>
        <w:rPr>
          <w:rFonts w:ascii="Calibri" w:hAnsi="Calibri" w:eastAsia="Times New Roman" w:cs="Times New Roman"/>
          <w:i/>
          <w:color w:val="555555"/>
          <w:sz w:val="19"/>
        </w:rPr>
        <w:t xml:space="preserve"> use Python's built-in </w:t>
      </w:r>
      <w:r>
        <w:rPr>
          <w:rFonts w:ascii="Consolas" w:hAnsi="Consolas" w:eastAsia="Times New Roman" w:cs="Times New Roman"/>
          <w:i/>
          <w:color w:val="555555"/>
          <w:sz w:val="19"/>
        </w:rPr>
        <w:t>hash()</w:t>
      </w:r>
      <w:r>
        <w:rPr>
          <w:rFonts w:ascii="Calibri" w:hAnsi="Calibri" w:eastAsia="Times New Roman" w:cs="Times New Roman"/>
          <w:i/>
          <w:color w:val="555555"/>
          <w:sz w:val="19"/>
        </w:rPr>
        <w:t>—it salts strings randomly per process (PYTHONHASHSEED), making the split non-reproducible; this script instead uses crc32 and caches by uuid. Ignoring this, the same code yields different splits in different processes and the conclusion becomes irreproducible.</w:t>
      </w:r>
    </w:p>
    <w:p>
      <w:pPr>
        <w:spacing w:after="120"/>
      </w:pPr>
      <w:r>
        <w:rPr>
          <w:rFonts w:ascii="Calibri" w:hAnsi="Calibri" w:eastAsia="Times New Roman" w:cs="Times New Roman"/>
          <w:b/>
          <w:sz w:val="21"/>
        </w:rPr>
        <w:t>Table 23. O10: student-level holdout validation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471"/>
        <w:gridCol w:w="1471"/>
        <w:gridCol w:w="1471"/>
        <w:gridCol w:w="1471"/>
        <w:gridCol w:w="1471"/>
        <w:gridCol w:w="1471"/>
        <w:gridCol w:w="1471"/>
        <w:gridCol w:w="1471"/>
        <w:gridCol w:w="1471"/>
      </w:tblGrid>
      <w:tr>
        <w:tc>
          <w:tcPr>
            <w:tcW w:type="dxa" w:w="1471"/>
            <w:shd w:val="clear" w:color="auto" w:fill="DDDDDD"/>
          </w:tcPr>
          <w:p>
            <w:r>
              <w:rPr>
                <w:b/>
              </w:rPr>
            </w:r>
            <w:r>
              <w:rPr>
                <w:rFonts w:ascii="Calibri" w:hAnsi="Calibri" w:eastAsia="Times New Roman" w:cs="Times New Roman"/>
                <w:b/>
                <w:sz w:val="19"/>
              </w:rPr>
              <w:t>k</w:t>
            </w:r>
          </w:p>
        </w:tc>
        <w:tc>
          <w:tcPr>
            <w:tcW w:type="dxa" w:w="1471"/>
            <w:shd w:val="clear" w:color="auto" w:fill="DDDDDD"/>
          </w:tcPr>
          <w:p>
            <w:r>
              <w:rPr>
                <w:b/>
              </w:rPr>
            </w:r>
            <w:r>
              <w:rPr>
                <w:rFonts w:ascii="Calibri" w:hAnsi="Calibri" w:eastAsia="Times New Roman" w:cs="Times New Roman"/>
                <w:b/>
                <w:sz w:val="19"/>
              </w:rPr>
              <w:t>Success-only</w:t>
            </w:r>
          </w:p>
        </w:tc>
        <w:tc>
          <w:tcPr>
            <w:tcW w:type="dxa" w:w="1471"/>
            <w:shd w:val="clear" w:color="auto" w:fill="DDDDDD"/>
          </w:tcPr>
          <w:p>
            <w:r>
              <w:rPr>
                <w:b/>
              </w:rPr>
            </w:r>
            <w:r>
              <w:rPr>
                <w:rFonts w:ascii="Calibri" w:hAnsi="Calibri" w:eastAsia="Times New Roman" w:cs="Times New Roman"/>
                <w:b/>
                <w:sz w:val="19"/>
              </w:rPr>
              <w:t>fused7 (O5 config)</w:t>
            </w:r>
          </w:p>
        </w:tc>
        <w:tc>
          <w:tcPr>
            <w:tcW w:type="dxa" w:w="1471"/>
            <w:shd w:val="clear" w:color="auto" w:fill="DDDDDD"/>
          </w:tcPr>
          <w:p>
            <w:r>
              <w:rPr>
                <w:b/>
              </w:rPr>
            </w:r>
            <w:r>
              <w:rPr>
                <w:rFonts w:ascii="Calibri" w:hAnsi="Calibri" w:eastAsia="Times New Roman" w:cs="Times New Roman"/>
                <w:b/>
                <w:sz w:val="19"/>
              </w:rPr>
              <w:t>fused6</w:t>
            </w:r>
          </w:p>
        </w:tc>
        <w:tc>
          <w:tcPr>
            <w:tcW w:type="dxa" w:w="1471"/>
            <w:shd w:val="clear" w:color="auto" w:fill="DDDDDD"/>
          </w:tcPr>
          <w:p>
            <w:r>
              <w:rPr>
                <w:b/>
              </w:rPr>
            </w:r>
            <w:r>
              <w:rPr>
                <w:rFonts w:ascii="Calibri" w:hAnsi="Calibri" w:eastAsia="Times New Roman" w:cs="Times New Roman"/>
                <w:b/>
                <w:sz w:val="19"/>
              </w:rPr>
              <w:t xml:space="preserve">mix6 (λ̂ formula, </w:t>
            </w:r>
            <w:r>
              <w:rPr>
                <w:rFonts w:ascii="Calibri" w:hAnsi="Calibri" w:eastAsia="Times New Roman" w:cs="Times New Roman"/>
                <w:b/>
                <w:sz w:val="19"/>
              </w:rPr>
              <w:t>untuned</w:t>
            </w:r>
            <w:r>
              <w:rPr>
                <w:rFonts w:ascii="Calibri" w:hAnsi="Calibri" w:eastAsia="Times New Roman" w:cs="Times New Roman"/>
                <w:b/>
                <w:sz w:val="19"/>
              </w:rPr>
              <w:t>)</w:t>
            </w:r>
          </w:p>
        </w:tc>
        <w:tc>
          <w:tcPr>
            <w:tcW w:type="dxa" w:w="1471"/>
            <w:shd w:val="clear" w:color="auto" w:fill="DDDDDD"/>
          </w:tcPr>
          <w:p>
            <w:r>
              <w:rPr>
                <w:b/>
              </w:rPr>
            </w:r>
            <w:r>
              <w:rPr>
                <w:rFonts w:ascii="Calibri" w:hAnsi="Calibri" w:eastAsia="Times New Roman" w:cs="Times New Roman"/>
                <w:b/>
                <w:sz w:val="19"/>
              </w:rPr>
              <w:t>λ̂</w:t>
            </w:r>
          </w:p>
        </w:tc>
        <w:tc>
          <w:tcPr>
            <w:tcW w:type="dxa" w:w="1471"/>
            <w:shd w:val="clear" w:color="auto" w:fill="DDDDDD"/>
          </w:tcPr>
          <w:p>
            <w:r>
              <w:rPr>
                <w:b/>
              </w:rPr>
            </w:r>
            <w:r>
              <w:rPr>
                <w:rFonts w:ascii="Calibri" w:hAnsi="Calibri" w:eastAsia="Times New Roman" w:cs="Times New Roman"/>
                <w:b/>
                <w:sz w:val="19"/>
              </w:rPr>
              <w:t>λ*_emp</w:t>
            </w:r>
          </w:p>
        </w:tc>
        <w:tc>
          <w:tcPr>
            <w:tcW w:type="dxa" w:w="1471"/>
            <w:shd w:val="clear" w:color="auto" w:fill="DDDDDD"/>
          </w:tcPr>
          <w:p>
            <w:r>
              <w:rPr>
                <w:b/>
              </w:rPr>
            </w:r>
            <w:r>
              <w:rPr>
                <w:rFonts w:ascii="Calibri" w:hAnsi="Calibri" w:eastAsia="Times New Roman" w:cs="Times New Roman"/>
                <w:b/>
                <w:sz w:val="19"/>
              </w:rPr>
              <w:t>λ̂ gain</w:t>
            </w:r>
          </w:p>
        </w:tc>
        <w:tc>
          <w:tcPr>
            <w:tcW w:type="dxa" w:w="1471"/>
            <w:shd w:val="clear" w:color="auto" w:fill="DDDDDD"/>
          </w:tcPr>
          <w:p>
            <w:r>
              <w:rPr>
                <w:b/>
              </w:rPr>
            </w:r>
            <w:r>
              <w:rPr>
                <w:rFonts w:ascii="Calibri" w:hAnsi="Calibri" w:eastAsia="Times New Roman" w:cs="Times New Roman"/>
                <w:b/>
                <w:sz w:val="19"/>
              </w:rPr>
              <w:t>fused6 raw gain</w:t>
            </w:r>
          </w:p>
        </w:tc>
      </w:tr>
      <w:tr>
        <w:tc>
          <w:tcPr>
            <w:tcW w:type="dxa" w:w="1471"/>
          </w:tcPr>
          <w:p>
            <w:r/>
            <w:r>
              <w:rPr>
                <w:rFonts w:ascii="Calibri" w:hAnsi="Calibri" w:eastAsia="Times New Roman" w:cs="Times New Roman"/>
                <w:sz w:val="19"/>
              </w:rPr>
              <w:t>10</w:t>
            </w:r>
          </w:p>
        </w:tc>
        <w:tc>
          <w:tcPr>
            <w:tcW w:type="dxa" w:w="1471"/>
          </w:tcPr>
          <w:p>
            <w:r/>
            <w:r>
              <w:rPr>
                <w:rFonts w:ascii="Calibri" w:hAnsi="Calibri" w:eastAsia="Times New Roman" w:cs="Times New Roman"/>
                <w:sz w:val="19"/>
              </w:rPr>
              <w:t>0.6631</w:t>
            </w:r>
          </w:p>
        </w:tc>
        <w:tc>
          <w:tcPr>
            <w:tcW w:type="dxa" w:w="1471"/>
          </w:tcPr>
          <w:p>
            <w:r/>
            <w:r>
              <w:rPr>
                <w:rFonts w:ascii="Calibri" w:hAnsi="Calibri" w:eastAsia="Times New Roman" w:cs="Times New Roman"/>
                <w:sz w:val="19"/>
              </w:rPr>
              <w:t>0.6442</w:t>
            </w:r>
          </w:p>
        </w:tc>
        <w:tc>
          <w:tcPr>
            <w:tcW w:type="dxa" w:w="1471"/>
          </w:tcPr>
          <w:p>
            <w:r/>
            <w:r>
              <w:rPr>
                <w:rFonts w:ascii="Calibri" w:hAnsi="Calibri" w:eastAsia="Times New Roman" w:cs="Times New Roman"/>
                <w:sz w:val="19"/>
              </w:rPr>
              <w:t>0.6870</w:t>
            </w:r>
          </w:p>
        </w:tc>
        <w:tc>
          <w:tcPr>
            <w:tcW w:type="dxa" w:w="1471"/>
          </w:tcPr>
          <w:p>
            <w:r/>
            <w:r>
              <w:rPr>
                <w:rFonts w:ascii="Calibri" w:hAnsi="Calibri" w:eastAsia="Times New Roman" w:cs="Times New Roman"/>
                <w:b/>
                <w:sz w:val="19"/>
              </w:rPr>
              <w:t>0.6995</w:t>
            </w:r>
          </w:p>
        </w:tc>
        <w:tc>
          <w:tcPr>
            <w:tcW w:type="dxa" w:w="1471"/>
          </w:tcPr>
          <w:p>
            <w:r/>
            <w:r>
              <w:rPr>
                <w:rFonts w:ascii="Calibri" w:hAnsi="Calibri" w:eastAsia="Times New Roman" w:cs="Times New Roman"/>
                <w:sz w:val="19"/>
              </w:rPr>
              <w:t>0.711</w:t>
            </w:r>
          </w:p>
        </w:tc>
        <w:tc>
          <w:tcPr>
            <w:tcW w:type="dxa" w:w="1471"/>
          </w:tcPr>
          <w:p>
            <w:r/>
            <w:r>
              <w:rPr>
                <w:rFonts w:ascii="Calibri" w:hAnsi="Calibri" w:eastAsia="Times New Roman" w:cs="Times New Roman"/>
                <w:sz w:val="19"/>
              </w:rPr>
              <w:t>0.716</w:t>
            </w:r>
          </w:p>
        </w:tc>
        <w:tc>
          <w:tcPr>
            <w:tcW w:type="dxa" w:w="1471"/>
          </w:tcPr>
          <w:p>
            <w:r/>
            <w:r>
              <w:rPr>
                <w:rFonts w:ascii="Calibri" w:hAnsi="Calibri" w:eastAsia="Times New Roman" w:cs="Times New Roman"/>
                <w:b/>
                <w:sz w:val="19"/>
              </w:rPr>
              <w:t>+3.64 pp</w:t>
            </w:r>
          </w:p>
        </w:tc>
        <w:tc>
          <w:tcPr>
            <w:tcW w:type="dxa" w:w="1471"/>
          </w:tcPr>
          <w:p>
            <w:r/>
            <w:r>
              <w:rPr>
                <w:rFonts w:ascii="Calibri" w:hAnsi="Calibri" w:eastAsia="Times New Roman" w:cs="Times New Roman"/>
                <w:sz w:val="19"/>
              </w:rPr>
              <w:t>+2.39 pp</w:t>
            </w:r>
          </w:p>
        </w:tc>
      </w:tr>
      <w:tr>
        <w:tc>
          <w:tcPr>
            <w:tcW w:type="dxa" w:w="1471"/>
          </w:tcPr>
          <w:p>
            <w:r/>
            <w:r>
              <w:rPr>
                <w:rFonts w:ascii="Calibri" w:hAnsi="Calibri" w:eastAsia="Times New Roman" w:cs="Times New Roman"/>
                <w:sz w:val="19"/>
              </w:rPr>
              <w:t>25</w:t>
            </w:r>
          </w:p>
        </w:tc>
        <w:tc>
          <w:tcPr>
            <w:tcW w:type="dxa" w:w="1471"/>
          </w:tcPr>
          <w:p>
            <w:r/>
            <w:r>
              <w:rPr>
                <w:rFonts w:ascii="Calibri" w:hAnsi="Calibri" w:eastAsia="Times New Roman" w:cs="Times New Roman"/>
                <w:sz w:val="19"/>
              </w:rPr>
              <w:t>0.8133</w:t>
            </w:r>
          </w:p>
        </w:tc>
        <w:tc>
          <w:tcPr>
            <w:tcW w:type="dxa" w:w="1471"/>
          </w:tcPr>
          <w:p>
            <w:r/>
            <w:r>
              <w:rPr>
                <w:rFonts w:ascii="Calibri" w:hAnsi="Calibri" w:eastAsia="Times New Roman" w:cs="Times New Roman"/>
                <w:sz w:val="19"/>
              </w:rPr>
              <w:t>0.7418</w:t>
            </w:r>
          </w:p>
        </w:tc>
        <w:tc>
          <w:tcPr>
            <w:tcW w:type="dxa" w:w="1471"/>
          </w:tcPr>
          <w:p>
            <w:r/>
            <w:r>
              <w:rPr>
                <w:rFonts w:ascii="Calibri" w:hAnsi="Calibri" w:eastAsia="Times New Roman" w:cs="Times New Roman"/>
                <w:sz w:val="19"/>
              </w:rPr>
              <w:t>0.7993</w:t>
            </w:r>
          </w:p>
        </w:tc>
        <w:tc>
          <w:tcPr>
            <w:tcW w:type="dxa" w:w="1471"/>
          </w:tcPr>
          <w:p>
            <w:r/>
            <w:r>
              <w:rPr>
                <w:rFonts w:ascii="Calibri" w:hAnsi="Calibri" w:eastAsia="Times New Roman" w:cs="Times New Roman"/>
                <w:b/>
                <w:sz w:val="19"/>
              </w:rPr>
              <w:t>0.8297</w:t>
            </w:r>
          </w:p>
        </w:tc>
        <w:tc>
          <w:tcPr>
            <w:tcW w:type="dxa" w:w="1471"/>
          </w:tcPr>
          <w:p>
            <w:r/>
            <w:r>
              <w:rPr>
                <w:rFonts w:ascii="Calibri" w:hAnsi="Calibri" w:eastAsia="Times New Roman" w:cs="Times New Roman"/>
                <w:sz w:val="19"/>
              </w:rPr>
              <w:t>0.520</w:t>
            </w:r>
          </w:p>
        </w:tc>
        <w:tc>
          <w:tcPr>
            <w:tcW w:type="dxa" w:w="1471"/>
          </w:tcPr>
          <w:p>
            <w:r/>
            <w:r>
              <w:rPr>
                <w:rFonts w:ascii="Calibri" w:hAnsi="Calibri" w:eastAsia="Times New Roman" w:cs="Times New Roman"/>
                <w:sz w:val="19"/>
              </w:rPr>
              <w:t>0.521</w:t>
            </w:r>
          </w:p>
        </w:tc>
        <w:tc>
          <w:tcPr>
            <w:tcW w:type="dxa" w:w="1471"/>
          </w:tcPr>
          <w:p>
            <w:r/>
            <w:r>
              <w:rPr>
                <w:rFonts w:ascii="Calibri" w:hAnsi="Calibri" w:eastAsia="Times New Roman" w:cs="Times New Roman"/>
                <w:sz w:val="19"/>
              </w:rPr>
              <w:t>+1.64 pp</w:t>
            </w:r>
          </w:p>
        </w:tc>
        <w:tc>
          <w:tcPr>
            <w:tcW w:type="dxa" w:w="1471"/>
          </w:tcPr>
          <w:p>
            <w:r/>
            <w:r>
              <w:rPr>
                <w:rFonts w:ascii="Calibri" w:hAnsi="Calibri" w:eastAsia="Times New Roman" w:cs="Times New Roman"/>
                <w:sz w:val="19"/>
              </w:rPr>
              <w:t>−1.40 pp</w:t>
            </w:r>
          </w:p>
        </w:tc>
      </w:tr>
      <w:tr>
        <w:tc>
          <w:tcPr>
            <w:tcW w:type="dxa" w:w="1471"/>
          </w:tcPr>
          <w:p>
            <w:r/>
            <w:r>
              <w:rPr>
                <w:rFonts w:ascii="Calibri" w:hAnsi="Calibri" w:eastAsia="Times New Roman" w:cs="Times New Roman"/>
                <w:sz w:val="19"/>
              </w:rPr>
              <w:t>50</w:t>
            </w:r>
          </w:p>
        </w:tc>
        <w:tc>
          <w:tcPr>
            <w:tcW w:type="dxa" w:w="1471"/>
          </w:tcPr>
          <w:p>
            <w:r/>
            <w:r>
              <w:rPr>
                <w:rFonts w:ascii="Calibri" w:hAnsi="Calibri" w:eastAsia="Times New Roman" w:cs="Times New Roman"/>
                <w:sz w:val="19"/>
              </w:rPr>
              <w:t>0.8881</w:t>
            </w:r>
          </w:p>
        </w:tc>
        <w:tc>
          <w:tcPr>
            <w:tcW w:type="dxa" w:w="1471"/>
          </w:tcPr>
          <w:p>
            <w:r/>
            <w:r>
              <w:rPr>
                <w:rFonts w:ascii="Calibri" w:hAnsi="Calibri" w:eastAsia="Times New Roman" w:cs="Times New Roman"/>
                <w:sz w:val="19"/>
              </w:rPr>
              <w:t>0.7838</w:t>
            </w:r>
          </w:p>
        </w:tc>
        <w:tc>
          <w:tcPr>
            <w:tcW w:type="dxa" w:w="1471"/>
          </w:tcPr>
          <w:p>
            <w:r/>
            <w:r>
              <w:rPr>
                <w:rFonts w:ascii="Calibri" w:hAnsi="Calibri" w:eastAsia="Times New Roman" w:cs="Times New Roman"/>
                <w:sz w:val="19"/>
              </w:rPr>
              <w:t>0.8491</w:t>
            </w:r>
          </w:p>
        </w:tc>
        <w:tc>
          <w:tcPr>
            <w:tcW w:type="dxa" w:w="1471"/>
          </w:tcPr>
          <w:p>
            <w:r/>
            <w:r>
              <w:rPr>
                <w:rFonts w:ascii="Calibri" w:hAnsi="Calibri" w:eastAsia="Times New Roman" w:cs="Times New Roman"/>
                <w:sz w:val="19"/>
              </w:rPr>
              <w:t>0.8944</w:t>
            </w:r>
          </w:p>
        </w:tc>
        <w:tc>
          <w:tcPr>
            <w:tcW w:type="dxa" w:w="1471"/>
          </w:tcPr>
          <w:p>
            <w:r/>
            <w:r>
              <w:rPr>
                <w:rFonts w:ascii="Calibri" w:hAnsi="Calibri" w:eastAsia="Times New Roman" w:cs="Times New Roman"/>
                <w:sz w:val="19"/>
              </w:rPr>
              <w:t>0.368</w:t>
            </w:r>
          </w:p>
        </w:tc>
        <w:tc>
          <w:tcPr>
            <w:tcW w:type="dxa" w:w="1471"/>
          </w:tcPr>
          <w:p>
            <w:r/>
            <w:r>
              <w:rPr>
                <w:rFonts w:ascii="Calibri" w:hAnsi="Calibri" w:eastAsia="Times New Roman" w:cs="Times New Roman"/>
                <w:sz w:val="19"/>
              </w:rPr>
              <w:t>0.355</w:t>
            </w:r>
          </w:p>
        </w:tc>
        <w:tc>
          <w:tcPr>
            <w:tcW w:type="dxa" w:w="1471"/>
          </w:tcPr>
          <w:p>
            <w:r/>
            <w:r>
              <w:rPr>
                <w:rFonts w:ascii="Calibri" w:hAnsi="Calibri" w:eastAsia="Times New Roman" w:cs="Times New Roman"/>
                <w:sz w:val="19"/>
              </w:rPr>
              <w:t>+0.63 pp</w:t>
            </w:r>
          </w:p>
        </w:tc>
        <w:tc>
          <w:tcPr>
            <w:tcW w:type="dxa" w:w="1471"/>
          </w:tcPr>
          <w:p>
            <w:r/>
            <w:r>
              <w:rPr>
                <w:rFonts w:ascii="Calibri" w:hAnsi="Calibri" w:eastAsia="Times New Roman" w:cs="Times New Roman"/>
                <w:sz w:val="19"/>
              </w:rPr>
              <w:t>−3.90 pp</w:t>
            </w:r>
          </w:p>
        </w:tc>
      </w:tr>
      <w:tr>
        <w:tc>
          <w:tcPr>
            <w:tcW w:type="dxa" w:w="1471"/>
          </w:tcPr>
          <w:p>
            <w:r/>
            <w:r>
              <w:rPr>
                <w:rFonts w:ascii="Calibri" w:hAnsi="Calibri" w:eastAsia="Times New Roman" w:cs="Times New Roman"/>
                <w:sz w:val="19"/>
              </w:rPr>
              <w:t>100</w:t>
            </w:r>
          </w:p>
        </w:tc>
        <w:tc>
          <w:tcPr>
            <w:tcW w:type="dxa" w:w="1471"/>
          </w:tcPr>
          <w:p>
            <w:r/>
            <w:r>
              <w:rPr>
                <w:rFonts w:ascii="Calibri" w:hAnsi="Calibri" w:eastAsia="Times New Roman" w:cs="Times New Roman"/>
                <w:sz w:val="19"/>
              </w:rPr>
              <w:t>0.9356</w:t>
            </w:r>
          </w:p>
        </w:tc>
        <w:tc>
          <w:tcPr>
            <w:tcW w:type="dxa" w:w="1471"/>
          </w:tcPr>
          <w:p>
            <w:r/>
            <w:r>
              <w:rPr>
                <w:rFonts w:ascii="Calibri" w:hAnsi="Calibri" w:eastAsia="Times New Roman" w:cs="Times New Roman"/>
                <w:sz w:val="19"/>
              </w:rPr>
              <w:t>0.8101</w:t>
            </w:r>
          </w:p>
        </w:tc>
        <w:tc>
          <w:tcPr>
            <w:tcW w:type="dxa" w:w="1471"/>
          </w:tcPr>
          <w:p>
            <w:r/>
            <w:r>
              <w:rPr>
                <w:rFonts w:ascii="Calibri" w:hAnsi="Calibri" w:eastAsia="Times New Roman" w:cs="Times New Roman"/>
                <w:sz w:val="19"/>
              </w:rPr>
              <w:t>0.8783</w:t>
            </w:r>
          </w:p>
        </w:tc>
        <w:tc>
          <w:tcPr>
            <w:tcW w:type="dxa" w:w="1471"/>
          </w:tcPr>
          <w:p>
            <w:r/>
            <w:r>
              <w:rPr>
                <w:rFonts w:ascii="Calibri" w:hAnsi="Calibri" w:eastAsia="Times New Roman" w:cs="Times New Roman"/>
                <w:sz w:val="19"/>
              </w:rPr>
              <w:t>0.9372</w:t>
            </w:r>
          </w:p>
        </w:tc>
        <w:tc>
          <w:tcPr>
            <w:tcW w:type="dxa" w:w="1471"/>
          </w:tcPr>
          <w:p>
            <w:r/>
            <w:r>
              <w:rPr>
                <w:rFonts w:ascii="Calibri" w:hAnsi="Calibri" w:eastAsia="Times New Roman" w:cs="Times New Roman"/>
                <w:sz w:val="19"/>
              </w:rPr>
              <w:t>0.239</w:t>
            </w:r>
          </w:p>
        </w:tc>
        <w:tc>
          <w:tcPr>
            <w:tcW w:type="dxa" w:w="1471"/>
          </w:tcPr>
          <w:p>
            <w:r/>
            <w:r>
              <w:rPr>
                <w:rFonts w:ascii="Calibri" w:hAnsi="Calibri" w:eastAsia="Times New Roman" w:cs="Times New Roman"/>
                <w:sz w:val="19"/>
              </w:rPr>
              <w:t>0.200</w:t>
            </w:r>
          </w:p>
        </w:tc>
        <w:tc>
          <w:tcPr>
            <w:tcW w:type="dxa" w:w="1471"/>
          </w:tcPr>
          <w:p>
            <w:r/>
            <w:r>
              <w:rPr>
                <w:rFonts w:ascii="Calibri" w:hAnsi="Calibri" w:eastAsia="Times New Roman" w:cs="Times New Roman"/>
                <w:sz w:val="19"/>
              </w:rPr>
              <w:t>+0.16 pp</w:t>
            </w:r>
          </w:p>
        </w:tc>
        <w:tc>
          <w:tcPr>
            <w:tcW w:type="dxa" w:w="1471"/>
          </w:tcPr>
          <w:p>
            <w:r/>
            <w:r>
              <w:rPr>
                <w:rFonts w:ascii="Calibri" w:hAnsi="Calibri" w:eastAsia="Times New Roman" w:cs="Times New Roman"/>
                <w:sz w:val="19"/>
              </w:rPr>
              <w:t>−5.73 pp</w:t>
            </w:r>
          </w:p>
        </w:tc>
      </w:tr>
      <w:tr>
        <w:tc>
          <w:tcPr>
            <w:tcW w:type="dxa" w:w="1471"/>
          </w:tcPr>
          <w:p>
            <w:r/>
            <w:r>
              <w:rPr>
                <w:rFonts w:ascii="Calibri" w:hAnsi="Calibri" w:eastAsia="Times New Roman" w:cs="Times New Roman"/>
                <w:sz w:val="19"/>
              </w:rPr>
              <w:t>200</w:t>
            </w:r>
          </w:p>
        </w:tc>
        <w:tc>
          <w:tcPr>
            <w:tcW w:type="dxa" w:w="1471"/>
          </w:tcPr>
          <w:p>
            <w:r/>
            <w:r>
              <w:rPr>
                <w:rFonts w:ascii="Calibri" w:hAnsi="Calibri" w:eastAsia="Times New Roman" w:cs="Times New Roman"/>
                <w:sz w:val="19"/>
              </w:rPr>
              <w:t>0.9603</w:t>
            </w:r>
          </w:p>
        </w:tc>
        <w:tc>
          <w:tcPr>
            <w:tcW w:type="dxa" w:w="1471"/>
          </w:tcPr>
          <w:p>
            <w:r/>
            <w:r>
              <w:rPr>
                <w:rFonts w:ascii="Calibri" w:hAnsi="Calibri" w:eastAsia="Times New Roman" w:cs="Times New Roman"/>
                <w:sz w:val="19"/>
              </w:rPr>
              <w:t>0.8234</w:t>
            </w:r>
          </w:p>
        </w:tc>
        <w:tc>
          <w:tcPr>
            <w:tcW w:type="dxa" w:w="1471"/>
          </w:tcPr>
          <w:p>
            <w:r/>
            <w:r>
              <w:rPr>
                <w:rFonts w:ascii="Calibri" w:hAnsi="Calibri" w:eastAsia="Times New Roman" w:cs="Times New Roman"/>
                <w:sz w:val="19"/>
              </w:rPr>
              <w:t>0.8922</w:t>
            </w:r>
          </w:p>
        </w:tc>
        <w:tc>
          <w:tcPr>
            <w:tcW w:type="dxa" w:w="1471"/>
          </w:tcPr>
          <w:p>
            <w:r/>
            <w:r>
              <w:rPr>
                <w:rFonts w:ascii="Calibri" w:hAnsi="Calibri" w:eastAsia="Times New Roman" w:cs="Times New Roman"/>
                <w:sz w:val="19"/>
              </w:rPr>
              <w:t>0.9605</w:t>
            </w:r>
          </w:p>
        </w:tc>
        <w:tc>
          <w:tcPr>
            <w:tcW w:type="dxa" w:w="1471"/>
          </w:tcPr>
          <w:p>
            <w:r/>
            <w:r>
              <w:rPr>
                <w:rFonts w:ascii="Calibri" w:hAnsi="Calibri" w:eastAsia="Times New Roman" w:cs="Times New Roman"/>
                <w:sz w:val="19"/>
              </w:rPr>
              <w:t>0.144</w:t>
            </w:r>
          </w:p>
        </w:tc>
        <w:tc>
          <w:tcPr>
            <w:tcW w:type="dxa" w:w="1471"/>
          </w:tcPr>
          <w:p>
            <w:r/>
            <w:r>
              <w:rPr>
                <w:rFonts w:ascii="Calibri" w:hAnsi="Calibri" w:eastAsia="Times New Roman" w:cs="Times New Roman"/>
                <w:sz w:val="19"/>
              </w:rPr>
              <w:t>0.093</w:t>
            </w:r>
          </w:p>
        </w:tc>
        <w:tc>
          <w:tcPr>
            <w:tcW w:type="dxa" w:w="1471"/>
          </w:tcPr>
          <w:p>
            <w:r/>
            <w:r>
              <w:rPr>
                <w:rFonts w:ascii="Calibri" w:hAnsi="Calibri" w:eastAsia="Times New Roman" w:cs="Times New Roman"/>
                <w:sz w:val="19"/>
              </w:rPr>
              <w:t>+0.02 pp</w:t>
            </w:r>
          </w:p>
        </w:tc>
        <w:tc>
          <w:tcPr>
            <w:tcW w:type="dxa" w:w="1471"/>
          </w:tcPr>
          <w:p>
            <w:r/>
            <w:r>
              <w:rPr>
                <w:rFonts w:ascii="Calibri" w:hAnsi="Calibri" w:eastAsia="Times New Roman" w:cs="Times New Roman"/>
                <w:sz w:val="19"/>
              </w:rPr>
              <w:t>−6.81 pp</w:t>
            </w:r>
          </w:p>
        </w:tc>
      </w:tr>
    </w:tbl>
    <w:p/>
    <w:p>
      <w:pPr>
        <w:spacing w:after="120"/>
      </w:pPr>
      <w:r>
        <w:rPr>
          <w:rFonts w:ascii="Calibri" w:hAnsi="Calibri" w:eastAsia="Times New Roman" w:cs="Times New Roman"/>
          <w:sz w:val="21"/>
        </w:rPr>
        <w:t xml:space="preserve">Three conclusions. </w:t>
      </w:r>
      <w:r>
        <w:rPr>
          <w:rFonts w:ascii="Calibri" w:hAnsi="Calibri" w:eastAsia="Times New Roman" w:cs="Times New Roman"/>
          <w:b/>
          <w:sz w:val="21"/>
        </w:rPr>
        <w:t>First, O7's conclusion is fully reproduced at the student-level holdout</w:t>
      </w:r>
      <w:r>
        <w:rPr>
          <w:rFonts w:ascii="Calibri" w:hAnsi="Calibri" w:eastAsia="Times New Roman" w:cs="Times New Roman"/>
          <w:sz w:val="21"/>
        </w:rPr>
        <w:t xml:space="preserve">: fused7 still lags across the board, and the disadvantage grows with more samples (at k = 200, 0.8234 vs. 0.9603, difference </w:t>
      </w:r>
      <w:r>
        <w:rPr>
          <w:rFonts w:ascii="Calibri" w:hAnsi="Calibri" w:eastAsia="Times New Roman" w:cs="Times New Roman"/>
          <w:b/>
          <w:sz w:val="21"/>
        </w:rPr>
        <w:t>−0.137</w:t>
      </w:r>
      <w:r>
        <w:rPr>
          <w:rFonts w:ascii="Calibri" w:hAnsi="Calibri" w:eastAsia="Times New Roman" w:cs="Times New Roman"/>
          <w:sz w:val="21"/>
        </w:rPr>
        <w:t xml:space="preserve">); the λ-shrinkage gain is nearly identical to the record-level (at k = 10 </w:t>
      </w:r>
      <w:r>
        <w:rPr>
          <w:rFonts w:ascii="Calibri" w:hAnsi="Calibri" w:eastAsia="Times New Roman" w:cs="Times New Roman"/>
          <w:b/>
          <w:sz w:val="21"/>
        </w:rPr>
        <w:t>+3.64 pp</w:t>
      </w:r>
      <w:r>
        <w:rPr>
          <w:rFonts w:ascii="Calibri" w:hAnsi="Calibri" w:eastAsia="Times New Roman" w:cs="Times New Roman"/>
          <w:sz w:val="21"/>
        </w:rPr>
        <w:t xml:space="preserve">, record-level +3.43 pp). Thus the concern "record-level rather than student-level" is tested to have </w:t>
      </w:r>
      <w:r>
        <w:rPr>
          <w:rFonts w:ascii="Calibri" w:hAnsi="Calibri" w:eastAsia="Times New Roman" w:cs="Times New Roman"/>
          <w:b/>
          <w:sz w:val="21"/>
        </w:rPr>
        <w:t>little effect</w:t>
      </w:r>
      <w:r>
        <w:rPr>
          <w:rFonts w:ascii="Calibri" w:hAnsi="Calibri" w:eastAsia="Times New Roman" w:cs="Times New Roman"/>
          <w:sz w:val="21"/>
        </w:rPr>
        <w:t xml:space="preserve"> and does not constitute a substantive threat to our conclusion. </w:t>
      </w:r>
      <w:r>
        <w:rPr>
          <w:rFonts w:ascii="Calibri" w:hAnsi="Calibri" w:eastAsia="Times New Roman" w:cs="Times New Roman"/>
          <w:b/>
          <w:sz w:val="21"/>
        </w:rPr>
        <w:t>Second, λ̂ and empirical λ* agree closely</w:t>
      </w:r>
      <w:r>
        <w:rPr>
          <w:rFonts w:ascii="Calibri" w:hAnsi="Calibri" w:eastAsia="Times New Roman" w:cs="Times New Roman"/>
          <w:sz w:val="21"/>
        </w:rPr>
        <w:t xml:space="preserve"> (0.711 / 0.716, 0.520 / 0.521, 0.368 / 0.355), capturing nearly all the gain with </w:t>
      </w:r>
      <w:r>
        <w:rPr>
          <w:rFonts w:ascii="Calibri" w:hAnsi="Calibri" w:eastAsia="Times New Roman" w:cs="Times New Roman"/>
          <w:b/>
          <w:sz w:val="21"/>
        </w:rPr>
        <w:t>zero tuning</w:t>
      </w:r>
      <w:r>
        <w:rPr>
          <w:rFonts w:ascii="Calibri" w:hAnsi="Calibri" w:eastAsia="Times New Roman" w:cs="Times New Roman"/>
          <w:sz w:val="21"/>
        </w:rPr>
        <w:t>, further supporting that the λ</w:t>
      </w:r>
      <w:r>
        <w:rPr>
          <w:rFonts w:ascii="Calibri" w:hAnsi="Calibri" w:eastAsia="Times New Roman" w:cs="Times New Roman"/>
          <w:i/>
          <w:sz w:val="21"/>
        </w:rPr>
        <w:t xml:space="preserve">(k) formula is directly deployable. </w:t>
      </w:r>
      <w:r>
        <w:rPr>
          <w:rFonts w:ascii="Calibri" w:hAnsi="Calibri" w:eastAsia="Times New Roman" w:cs="Times New Roman"/>
          <w:i/>
          <w:sz w:val="21"/>
        </w:rPr>
        <w:t>Third, "dropping the directionally wrong signal alone is still insufficient" is also reproduced</w:t>
      </w:r>
      <w:r>
        <w:rPr>
          <w:rFonts w:ascii="Calibri" w:hAnsi="Calibri" w:eastAsia="Times New Roman" w:cs="Times New Roman"/>
          <w:sz w:val="21"/>
        </w:rPr>
        <w:t xml:space="preserve">*: fused6 remains negative gain after k ≥ 25 (−1.40 to −6.81 pp); only mix6 with λ-shrinkage added is non-inferior to success-rate-only at all k—i.e., direction checking and sample-size shrinkage are two inseparable requirements. §7.8 further shows a better variant, </w:t>
      </w:r>
      <w:r>
        <w:rPr>
          <w:rFonts w:ascii="Consolas" w:hAnsi="Consolas" w:eastAsia="Times New Roman" w:cs="Times New Roman"/>
          <w:sz w:val="21"/>
        </w:rPr>
        <w:t>srw7</w:t>
      </w:r>
      <w:r>
        <w:rPr>
          <w:rFonts w:ascii="Calibri" w:hAnsi="Calibri" w:eastAsia="Times New Roman" w:cs="Times New Roman"/>
          <w:sz w:val="21"/>
        </w:rPr>
        <w:t>: it is also non-inferior to baseline at all k and exceeds the fused6 kernel used by mix6 at all k (student-level k = 10/25/50/100/200: +4.283 / +2.189 / +0.951 / +0.335 / +0.102 pp), showing "dropping" is not the optimal handling of a directional error.</w:t>
      </w:r>
    </w:p>
    <w:p>
      <w:pPr>
        <w:pStyle w:val="Heading2"/>
        <w:spacing w:before="120" w:after="80"/>
      </w:pPr>
      <w:r>
        <w:rPr>
          <w:rFonts w:ascii="Calibri" w:hAnsi="Calibri" w:eastAsia="Times New Roman" w:cs="Times New Roman"/>
          <w:sz w:val="27"/>
        </w:rPr>
        <w:t>7.7 Three boundaries (must be reported together with the conclusions)</w:t>
      </w:r>
    </w:p>
    <w:p>
      <w:pPr>
        <w:spacing w:after="120"/>
      </w:pPr>
      <w:r>
        <w:rPr>
          <w:rFonts w:ascii="Calibri" w:hAnsi="Calibri" w:eastAsia="Times New Roman" w:cs="Times New Roman"/>
          <w:b/>
          <w:sz w:val="21"/>
        </w:rPr>
        <w:t>First, the gain vanishes rapidly with sample size.</w:t>
      </w:r>
      <w:r>
        <w:rPr>
          <w:rFonts w:ascii="Calibri" w:hAnsi="Calibri" w:eastAsia="Times New Roman" w:cs="Times New Roman"/>
          <w:sz w:val="21"/>
        </w:rPr>
        <w:t xml:space="preserve"> Under this paper's final recommended </w:t>
      </w:r>
      <w:r>
        <w:rPr>
          <w:rFonts w:ascii="Consolas" w:hAnsi="Consolas" w:eastAsia="Times New Roman" w:cs="Times New Roman"/>
          <w:sz w:val="21"/>
        </w:rPr>
        <w:t>srw7</w:t>
      </w:r>
      <w:r>
        <w:rPr>
          <w:rFonts w:ascii="Calibri" w:hAnsi="Calibri" w:eastAsia="Times New Roman" w:cs="Times New Roman"/>
          <w:sz w:val="21"/>
        </w:rPr>
        <w:t xml:space="preserve"> estimator, the holdout gain is student-level +0.335 pp at k = 100 and +0.102 pp at k = 200 (record-level +0.391 / +0.138 pp, §7.8 Tables 7-1, 7-2). For a mature question bank (hundreds of observations per item) </w:t>
      </w:r>
      <w:r>
        <w:rPr>
          <w:rFonts w:ascii="Calibri" w:hAnsi="Calibri" w:eastAsia="Times New Roman" w:cs="Times New Roman"/>
          <w:b/>
          <w:sz w:val="21"/>
        </w:rPr>
        <w:t>no significant gain should be expected</w:t>
      </w:r>
      <w:r>
        <w:rPr>
          <w:rFonts w:ascii="Calibri" w:hAnsi="Calibri" w:eastAsia="Times New Roman" w:cs="Times New Roman"/>
          <w:sz w:val="21"/>
        </w:rPr>
        <w:t>—at that point success rate is close to a sufficient statistic and the complementary space is small.</w:t>
      </w:r>
    </w:p>
    <w:p>
      <w:pPr>
        <w:spacing w:after="120"/>
      </w:pPr>
      <w:r>
        <w:rPr>
          <w:rFonts w:ascii="Calibri" w:hAnsi="Calibri" w:eastAsia="Times New Roman" w:cs="Times New Roman"/>
          <w:b/>
          <w:sz w:val="21"/>
        </w:rPr>
        <w:t>Second, λ-shrinkage has no gain on DBE.</w:t>
      </w:r>
      <w:r>
        <w:rPr>
          <w:rFonts w:ascii="Calibri" w:hAnsi="Calibri" w:eastAsia="Times New Roman" w:cs="Times New Roman"/>
          <w:sz w:val="21"/>
        </w:rPr>
        <w:t xml:space="preserve"> DBE's λ</w:t>
      </w:r>
      <w:r>
        <w:rPr>
          <w:rFonts w:ascii="Calibri" w:hAnsi="Calibri" w:eastAsia="Times New Roman" w:cs="Times New Roman"/>
          <w:i/>
          <w:sz w:val="21"/>
        </w:rPr>
        <w:t xml:space="preserve"> is only in 0.05–0.17, and the holdout ρ is on par with or slightly below λ = 0 (0.9001 vs. 0.9006 at k = 25). This improvement </w:t>
      </w:r>
      <w:r>
        <w:rPr>
          <w:rFonts w:ascii="Calibri" w:hAnsi="Calibri" w:eastAsia="Times New Roman" w:cs="Times New Roman"/>
          <w:i/>
          <w:sz w:val="21"/>
        </w:rPr>
        <w:t>is verified only on Junyi, not cross-system reproduced</w:t>
      </w:r>
      <w:r>
        <w:rPr>
          <w:rFonts w:ascii="Calibri" w:hAnsi="Calibri" w:eastAsia="Times New Roman" w:cs="Times New Roman"/>
          <w:sz w:val="21"/>
        </w:rPr>
        <w:t>*. We do not write it as a general rule. (In correspondence, DBE's repeated-cross-validation CI [0.2895, 0.7390] spans about 0.45, and with n = 212 items the information is extremely low, further indicating DBE's estimate should not be merged with Junyi's.)</w:t>
      </w:r>
    </w:p>
    <w:p>
      <w:pPr>
        <w:spacing w:after="120"/>
      </w:pPr>
      <w:r>
        <w:rPr>
          <w:rFonts w:ascii="Calibri" w:hAnsi="Calibri" w:eastAsia="Times New Roman" w:cs="Times New Roman"/>
          <w:b/>
          <w:sz w:val="21"/>
        </w:rPr>
        <w:t>Third, the validity gap of "record-level holdout" has been handled by the student-level holdout test, and the conclusion holds.</w:t>
      </w:r>
      <w:r>
        <w:rPr>
          <w:rFonts w:ascii="Calibri" w:hAnsi="Calibri" w:eastAsia="Times New Roman" w:cs="Times New Roman"/>
          <w:sz w:val="21"/>
        </w:rPr>
        <w:t xml:space="preserve"> O10 in §7.6 re-ran all tests by student split, O7's conclusion is fully reproduced, and the λ-shrinkage gain is nearly identical to the record-level (at k = 10, +3.64 pp vs. +3.43 pp), so this concern is tested to have </w:t>
      </w:r>
      <w:r>
        <w:rPr>
          <w:rFonts w:ascii="Calibri" w:hAnsi="Calibri" w:eastAsia="Times New Roman" w:cs="Times New Roman"/>
          <w:b/>
          <w:sz w:val="21"/>
        </w:rPr>
        <w:t>little effect</w:t>
      </w:r>
      <w:r>
        <w:rPr>
          <w:rFonts w:ascii="Calibri" w:hAnsi="Calibri" w:eastAsia="Times New Roman" w:cs="Times New Roman"/>
          <w:sz w:val="21"/>
        </w:rPr>
        <w:t xml:space="preserve">. The remaining boundaries are threefold: </w:t>
      </w:r>
      <w:r>
        <w:rPr>
          <w:rFonts w:ascii="Calibri" w:hAnsi="Calibri" w:eastAsia="Times New Roman" w:cs="Times New Roman"/>
          <w:b/>
          <w:sz w:val="21"/>
        </w:rPr>
        <w:t>one</w:t>
      </w:r>
      <w:r>
        <w:rPr>
          <w:rFonts w:ascii="Calibri" w:hAnsi="Calibri" w:eastAsia="Times New Roman" w:cs="Times New Roman"/>
          <w:sz w:val="21"/>
        </w:rPr>
        <w:t xml:space="preserve">, gain decay—under the student-level caliber </w:t>
      </w:r>
      <w:r>
        <w:rPr>
          <w:rFonts w:ascii="Consolas" w:hAnsi="Consolas" w:eastAsia="Times New Roman" w:cs="Times New Roman"/>
          <w:sz w:val="21"/>
        </w:rPr>
        <w:t>srw7</w:t>
      </w:r>
      <w:r>
        <w:rPr>
          <w:rFonts w:ascii="Calibri" w:hAnsi="Calibri" w:eastAsia="Times New Roman" w:cs="Times New Roman"/>
          <w:sz w:val="21"/>
        </w:rPr>
        <w:t xml:space="preserve">'s gain is +0.335 percentage points at k = 100 and +0.102 pp at k = 200 (record-level +0.391 / +0.138 pp); </w:t>
      </w:r>
      <w:r>
        <w:rPr>
          <w:rFonts w:ascii="Calibri" w:hAnsi="Calibri" w:eastAsia="Times New Roman" w:cs="Times New Roman"/>
          <w:b/>
          <w:sz w:val="21"/>
        </w:rPr>
        <w:t>two</w:t>
      </w:r>
      <w:r>
        <w:rPr>
          <w:rFonts w:ascii="Calibri" w:hAnsi="Calibri" w:eastAsia="Times New Roman" w:cs="Times New Roman"/>
          <w:sz w:val="21"/>
        </w:rPr>
        <w:t xml:space="preserve">, cross-system extrapolation—λ-shrinkage is verified only on Junyi, with no gain on DBE; </w:t>
      </w:r>
      <w:r>
        <w:rPr>
          <w:rFonts w:ascii="Calibri" w:hAnsi="Calibri" w:eastAsia="Times New Roman" w:cs="Times New Roman"/>
          <w:b/>
          <w:sz w:val="21"/>
        </w:rPr>
        <w:t>three</w:t>
      </w:r>
      <w:r>
        <w:rPr>
          <w:rFonts w:ascii="Calibri" w:hAnsi="Calibri" w:eastAsia="Times New Roman" w:cs="Times New Roman"/>
          <w:sz w:val="21"/>
        </w:rPr>
        <w:t xml:space="preserve">, O10 still rearranges student–item pairs within historical data and does not cover the cold-start cross-generalisation of "new student + new item"—whether fusion still gains in that scenario remains an open question. In addition, the criterion block is fixed at 250 (O7) and the criterion half fixed at a response count (O10), meaning the criterion itself has a reliability ceiling, so the absolute ρ values in both places (e.g., 0.9603) </w:t>
      </w:r>
      <w:r>
        <w:rPr>
          <w:rFonts w:ascii="Calibri" w:hAnsi="Calibri" w:eastAsia="Times New Roman" w:cs="Times New Roman"/>
          <w:b/>
          <w:sz w:val="21"/>
        </w:rPr>
        <w:t>cannot be read as "near perfect"</w:t>
      </w:r>
      <w:r>
        <w:rPr>
          <w:rFonts w:ascii="Calibri" w:hAnsi="Calibri" w:eastAsia="Times New Roman" w:cs="Times New Roman"/>
          <w:sz w:val="21"/>
        </w:rPr>
        <w:t xml:space="preserve">, and only </w:t>
      </w:r>
      <w:r>
        <w:rPr>
          <w:rFonts w:ascii="Calibri" w:hAnsi="Calibri" w:eastAsia="Times New Roman" w:cs="Times New Roman"/>
          <w:b/>
          <w:sz w:val="21"/>
        </w:rPr>
        <w:t>within-k between-group comparisons</w:t>
      </w:r>
      <w:r>
        <w:rPr>
          <w:rFonts w:ascii="Calibri" w:hAnsi="Calibri" w:eastAsia="Times New Roman" w:cs="Times New Roman"/>
          <w:sz w:val="21"/>
        </w:rPr>
        <w:t xml:space="preserve"> are valid.</w:t>
      </w:r>
    </w:p>
    <w:p>
      <w:pPr>
        <w:pStyle w:val="Heading2"/>
        <w:spacing w:before="120" w:after="80"/>
      </w:pPr>
      <w:r>
        <w:rPr>
          <w:rFonts w:ascii="Calibri" w:hAnsi="Calibri" w:eastAsia="Times New Roman" w:cs="Times New Roman"/>
          <w:sz w:val="27"/>
        </w:rPr>
        <w:t>7.8 O11/O12: optimising the fusion estimator — sign correction and split-half-reliability weighting</w:t>
      </w:r>
    </w:p>
    <w:p>
      <w:pPr>
        <w:spacing w:after="120"/>
      </w:pPr>
      <w:r>
        <w:rPr>
          <w:rFonts w:ascii="Calibri" w:hAnsi="Calibri" w:eastAsia="Times New Roman" w:cs="Times New Roman"/>
          <w:sz w:val="21"/>
        </w:rPr>
        <w:t xml:space="preserve">§7.3 attributed the reversal to one directional error and fixed it by "dropping the upgrade rate" (fused6). O11 and O12 test a further hypothesis: </w:t>
      </w:r>
      <w:r>
        <w:rPr>
          <w:rFonts w:ascii="Calibri" w:hAnsi="Calibri" w:eastAsia="Times New Roman" w:cs="Times New Roman"/>
          <w:b/>
          <w:sz w:val="21"/>
        </w:rPr>
        <w:t>a directionally wrong signal should be sign-corrected, not deleted column-wise</w:t>
      </w:r>
      <w:r>
        <w:rPr>
          <w:rFonts w:ascii="Calibri" w:hAnsi="Calibri" w:eastAsia="Times New Roman" w:cs="Times New Roman"/>
          <w:sz w:val="21"/>
        </w:rPr>
        <w:t xml:space="preserve">; on top of that, </w:t>
      </w:r>
      <w:r>
        <w:rPr>
          <w:rFonts w:ascii="Calibri" w:hAnsi="Calibri" w:eastAsia="Times New Roman" w:cs="Times New Roman"/>
          <w:b/>
          <w:sz w:val="21"/>
        </w:rPr>
        <w:t>weighting per signal by its reliability within the fit block</w:t>
      </w:r>
      <w:r>
        <w:rPr>
          <w:rFonts w:ascii="Calibri" w:hAnsi="Calibri" w:eastAsia="Times New Roman" w:cs="Times New Roman"/>
          <w:sz w:val="21"/>
        </w:rPr>
        <w:t xml:space="preserve"> should further reduce small-sample fusion variance. Both are evaluated under the same holdout protocol as §7.2 (O7/O8): fit block A is k reservoir slots per item, criterion block B is 250 mutually exclusive slots; REP = 25, SPLITS = 20; O12 follows the O10 protocol (split students by </w:t>
      </w:r>
      <w:r>
        <w:rPr>
          <w:rFonts w:ascii="Consolas" w:hAnsi="Consolas" w:eastAsia="Times New Roman" w:cs="Times New Roman"/>
          <w:sz w:val="21"/>
        </w:rPr>
        <w:t>crc32(uuid)</w:t>
      </w:r>
      <w:r>
        <w:rPr>
          <w:rFonts w:ascii="Calibri" w:hAnsi="Calibri" w:eastAsia="Times New Roman" w:cs="Times New Roman"/>
          <w:sz w:val="21"/>
        </w:rPr>
        <w:t xml:space="preserve"> parity, 1,238 items, reservoir/half = 250, REP = 25 × SPLITS = 20). </w:t>
      </w:r>
      <w:r>
        <w:rPr>
          <w:rFonts w:ascii="Calibri" w:hAnsi="Calibri" w:eastAsia="Times New Roman" w:cs="Times New Roman"/>
          <w:b/>
          <w:sz w:val="21"/>
        </w:rPr>
        <w:t>All signs, weights, and λ are estimated only within fit block A; criterion block B is entirely uninvolved, no leakage</w:t>
      </w:r>
      <w:r>
        <w:rPr>
          <w:rFonts w:ascii="Calibri" w:hAnsi="Calibri" w:eastAsia="Times New Roman" w:cs="Times New Roman"/>
          <w:sz w:val="21"/>
        </w:rPr>
        <w:t xml:space="preserve">; λ defaults to the closed form λ_cf(k) = 1 / (1 + (k / 27.3)^0.895) (deployed 27.3, the rounded value of O9's leave-one-k CV fit </w:t>
      </w:r>
      <w:r>
        <w:rPr>
          <w:rFonts w:ascii="Calibri" w:hAnsi="Calibri" w:eastAsia="Times New Roman" w:cs="Times New Roman"/>
          <w:b/>
          <w:sz w:val="21"/>
        </w:rPr>
        <w:t>27.332</w:t>
      </w:r>
      <w:r>
        <w:rPr>
          <w:rFonts w:ascii="Calibri" w:hAnsi="Calibri" w:eastAsia="Times New Roman" w:cs="Times New Roman"/>
          <w:sz w:val="21"/>
        </w:rPr>
        <w:t>).</w:t>
      </w:r>
    </w:p>
    <w:p>
      <w:pPr>
        <w:spacing w:after="120"/>
      </w:pPr>
      <w:r>
        <w:rPr>
          <w:rFonts w:ascii="Calibri" w:hAnsi="Calibri" w:eastAsia="Times New Roman" w:cs="Times New Roman"/>
          <w:sz w:val="21"/>
        </w:rPr>
        <w:t xml:space="preserve">The variants are defined as follows: </w:t>
      </w:r>
      <w:r>
        <w:rPr>
          <w:rFonts w:ascii="Consolas" w:hAnsi="Consolas" w:eastAsia="Times New Roman" w:cs="Times New Roman"/>
          <w:sz w:val="21"/>
        </w:rPr>
        <w:t>fused6</w:t>
      </w:r>
      <w:r>
        <w:rPr>
          <w:rFonts w:ascii="Calibri" w:hAnsi="Calibri" w:eastAsia="Times New Roman" w:cs="Times New Roman"/>
          <w:sz w:val="21"/>
        </w:rPr>
        <w:t xml:space="preserve"> is O8's "drop upgrade rate, 6-signal equal weight"; </w:t>
      </w:r>
      <w:r>
        <w:rPr>
          <w:rFonts w:ascii="Consolas" w:hAnsi="Consolas" w:eastAsia="Times New Roman" w:cs="Times New Roman"/>
          <w:sz w:val="21"/>
        </w:rPr>
        <w:t>fused7</w:t>
      </w:r>
      <w:r>
        <w:rPr>
          <w:rFonts w:ascii="Calibri" w:hAnsi="Calibri" w:eastAsia="Times New Roman" w:cs="Times New Roman"/>
          <w:sz w:val="21"/>
        </w:rPr>
        <w:t xml:space="preserve"> is O5's 7-signal equal weight; </w:t>
      </w:r>
      <w:r>
        <w:rPr>
          <w:rFonts w:ascii="Consolas" w:hAnsi="Consolas" w:eastAsia="Times New Roman" w:cs="Times New Roman"/>
          <w:sz w:val="21"/>
        </w:rPr>
        <w:t>signed7</w:t>
      </w:r>
      <w:r>
        <w:rPr>
          <w:rFonts w:ascii="Calibri" w:hAnsi="Calibri" w:eastAsia="Times New Roman" w:cs="Times New Roman"/>
          <w:sz w:val="21"/>
        </w:rPr>
        <w:t xml:space="preserve"> is 7-signal equal weight but with </w:t>
      </w:r>
      <w:r>
        <w:rPr>
          <w:rFonts w:ascii="Calibri" w:hAnsi="Calibri" w:eastAsia="Times New Roman" w:cs="Times New Roman"/>
          <w:b/>
          <w:sz w:val="21"/>
        </w:rPr>
        <w:t>per-signal sign correction</w:t>
      </w:r>
      <w:r>
        <w:rPr>
          <w:rFonts w:ascii="Calibri" w:hAnsi="Calibri" w:eastAsia="Times New Roman" w:cs="Times New Roman"/>
          <w:sz w:val="21"/>
        </w:rPr>
        <w:t xml:space="preserve"> by in-fit-block rank correlation (success's own sign fixed at +1); </w:t>
      </w:r>
      <w:r>
        <w:rPr>
          <w:rFonts w:ascii="Consolas" w:hAnsi="Consolas" w:eastAsia="Times New Roman" w:cs="Times New Roman"/>
          <w:sz w:val="21"/>
        </w:rPr>
        <w:t>rw6</w:t>
      </w:r>
      <w:r>
        <w:rPr>
          <w:rFonts w:ascii="Calibri" w:hAnsi="Calibri" w:eastAsia="Times New Roman" w:cs="Times New Roman"/>
          <w:sz w:val="21"/>
        </w:rPr>
        <w:t xml:space="preserve"> is 6-signal split-half-reliability weighting; </w:t>
      </w:r>
      <w:r>
        <w:rPr>
          <w:rFonts w:ascii="Consolas" w:hAnsi="Consolas" w:eastAsia="Times New Roman" w:cs="Times New Roman"/>
          <w:sz w:val="21"/>
        </w:rPr>
        <w:t>srw7</w:t>
      </w:r>
      <w:r>
        <w:rPr>
          <w:rFonts w:ascii="Calibri" w:hAnsi="Calibri" w:eastAsia="Times New Roman" w:cs="Times New Roman"/>
          <w:sz w:val="21"/>
        </w:rPr>
        <w:t xml:space="preserve"> is 7-signal with both sign correction and split-half-reliability weighting, i.e.,</w:t>
      </w:r>
    </w:p>
    <w:p>
      <w:pPr>
        <w:spacing w:before="80" w:after="80"/>
        <w:ind w:left="240"/>
        <w:shd w:val="clear" w:color="auto" w:fill="F2F2F2"/>
        <w:wordWrap w:val="false"/>
      </w:pPr>
      <w:r>
        <w:rPr>
          <w:rFonts w:ascii="Consolas" w:hAnsi="Consolas" w:eastAsia="Times New Roman" w:cs="Times New Roman"/>
          <w:sz w:val="18"/>
        </w:rPr>
        <w:t>score(item) = (1 − λ) · z_success(item) + λ · Σ_{s ∈ 7 signals} w_s · sgn_s · z_s(item)</w:t>
      </w:r>
      <w:r>
        <w:rPr>
          <w:rFonts w:ascii="Consolas" w:hAnsi="Consolas" w:eastAsia="Times New Roman" w:cs="Times New Roman"/>
          <w:sz w:val="18"/>
        </w:rPr>
        <w:br/>
        <w:t>sgn_s = sign(Spearman(z_s, z_success))      # direction correction; success itself sgn = +1</w:t>
      </w:r>
      <w:r>
        <w:rPr>
          <w:rFonts w:ascii="Consolas" w:hAnsi="Consolas" w:eastAsia="Times New Roman" w:cs="Times New Roman"/>
          <w:sz w:val="18"/>
        </w:rPr>
        <w:br/>
        <w:t>w_s   = max(0, split_half_reliability_s) normalized   # split-half reliability estimated within fit block A</w:t>
      </w:r>
      <w:r>
        <w:rPr>
          <w:rFonts w:ascii="Consolas" w:hAnsi="Consolas" w:eastAsia="Times New Roman" w:cs="Times New Roman"/>
          <w:sz w:val="18"/>
        </w:rPr>
        <w:br/>
        <w:t>λ = 1 / (1 + (k / 27.3)^0.895)              # deployed 27.3 (O9 leave-one-k CV fit 27.332 rounded); full-fit 27.4 / 0.902</w:t>
      </w:r>
    </w:p>
    <w:p>
      <w:pPr>
        <w:spacing w:after="120"/>
      </w:pPr>
      <w:r>
        <w:rPr>
          <w:rFonts w:ascii="Calibri" w:hAnsi="Calibri" w:eastAsia="Times New Roman" w:cs="Times New Roman"/>
          <w:sz w:val="21"/>
        </w:rPr>
        <w:t>Table 7-1 gives the record-level holdout gain, Table 7-2 the student-level holdout gain.</w:t>
      </w:r>
    </w:p>
    <w:p>
      <w:pPr>
        <w:spacing w:after="120"/>
      </w:pPr>
      <w:r>
        <w:rPr>
          <w:rFonts w:ascii="Calibri" w:hAnsi="Calibri" w:eastAsia="Times New Roman" w:cs="Times New Roman"/>
          <w:b/>
          <w:sz w:val="21"/>
        </w:rPr>
        <w:t>Table 7-1. Record-level holdout gain (O11, relative to "success-rate-only" baseline, unit pp, λ = λ_cf)</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324"/>
        <w:gridCol w:w="1324"/>
        <w:gridCol w:w="1324"/>
        <w:gridCol w:w="1324"/>
        <w:gridCol w:w="1324"/>
        <w:gridCol w:w="1324"/>
        <w:gridCol w:w="1324"/>
        <w:gridCol w:w="1324"/>
        <w:gridCol w:w="1324"/>
        <w:gridCol w:w="1324"/>
      </w:tblGrid>
      <w:tr>
        <w:tc>
          <w:tcPr>
            <w:tcW w:type="dxa" w:w="1324"/>
            <w:shd w:val="clear" w:color="auto" w:fill="DDDDDD"/>
          </w:tcPr>
          <w:p>
            <w:r>
              <w:rPr>
                <w:b/>
              </w:rPr>
            </w:r>
            <w:r>
              <w:rPr>
                <w:rFonts w:ascii="Calibri" w:hAnsi="Calibri" w:eastAsia="Times New Roman" w:cs="Times New Roman"/>
                <w:b/>
                <w:sz w:val="19"/>
              </w:rPr>
              <w:t>k</w:t>
            </w:r>
          </w:p>
        </w:tc>
        <w:tc>
          <w:tcPr>
            <w:tcW w:type="dxa" w:w="1324"/>
            <w:shd w:val="clear" w:color="auto" w:fill="DDDDDD"/>
          </w:tcPr>
          <w:p>
            <w:r>
              <w:rPr>
                <w:b/>
              </w:rPr>
            </w:r>
            <w:r>
              <w:rPr>
                <w:rFonts w:ascii="Calibri" w:hAnsi="Calibri" w:eastAsia="Times New Roman" w:cs="Times New Roman"/>
                <w:b/>
                <w:sz w:val="19"/>
              </w:rPr>
              <w:t>Success-only (held-out)</w:t>
            </w:r>
          </w:p>
        </w:tc>
        <w:tc>
          <w:tcPr>
            <w:tcW w:type="dxa" w:w="1324"/>
            <w:shd w:val="clear" w:color="auto" w:fill="DDDDDD"/>
          </w:tcPr>
          <w:p>
            <w:r>
              <w:rPr>
                <w:b/>
              </w:rPr>
            </w:r>
            <w:r>
              <w:rPr>
                <w:rFonts w:ascii="Calibri" w:hAnsi="Calibri" w:eastAsia="Times New Roman" w:cs="Times New Roman"/>
                <w:b/>
                <w:sz w:val="19"/>
              </w:rPr>
              <w:t>fused6</w:t>
            </w:r>
          </w:p>
        </w:tc>
        <w:tc>
          <w:tcPr>
            <w:tcW w:type="dxa" w:w="1324"/>
            <w:shd w:val="clear" w:color="auto" w:fill="DDDDDD"/>
          </w:tcPr>
          <w:p>
            <w:r>
              <w:rPr>
                <w:b/>
              </w:rPr>
            </w:r>
            <w:r>
              <w:rPr>
                <w:rFonts w:ascii="Calibri" w:hAnsi="Calibri" w:eastAsia="Times New Roman" w:cs="Times New Roman"/>
                <w:b/>
                <w:sz w:val="19"/>
              </w:rPr>
              <w:t>fused7</w:t>
            </w:r>
          </w:p>
        </w:tc>
        <w:tc>
          <w:tcPr>
            <w:tcW w:type="dxa" w:w="1324"/>
            <w:shd w:val="clear" w:color="auto" w:fill="DDDDDD"/>
          </w:tcPr>
          <w:p>
            <w:r>
              <w:rPr>
                <w:b/>
              </w:rPr>
            </w:r>
            <w:r>
              <w:rPr>
                <w:rFonts w:ascii="Calibri" w:hAnsi="Calibri" w:eastAsia="Times New Roman" w:cs="Times New Roman"/>
                <w:b/>
                <w:sz w:val="19"/>
              </w:rPr>
              <w:t>signed7</w:t>
            </w:r>
          </w:p>
        </w:tc>
        <w:tc>
          <w:tcPr>
            <w:tcW w:type="dxa" w:w="1324"/>
            <w:shd w:val="clear" w:color="auto" w:fill="DDDDDD"/>
          </w:tcPr>
          <w:p>
            <w:r>
              <w:rPr>
                <w:b/>
              </w:rPr>
            </w:r>
            <w:r>
              <w:rPr>
                <w:rFonts w:ascii="Calibri" w:hAnsi="Calibri" w:eastAsia="Times New Roman" w:cs="Times New Roman"/>
                <w:b/>
                <w:sz w:val="19"/>
              </w:rPr>
              <w:t>rw6</w:t>
            </w:r>
          </w:p>
        </w:tc>
        <w:tc>
          <w:tcPr>
            <w:tcW w:type="dxa" w:w="1324"/>
            <w:shd w:val="clear" w:color="auto" w:fill="DDDDDD"/>
          </w:tcPr>
          <w:p>
            <w:r>
              <w:rPr>
                <w:b/>
              </w:rPr>
            </w:r>
            <w:r>
              <w:rPr>
                <w:rFonts w:ascii="Calibri" w:hAnsi="Calibri" w:eastAsia="Times New Roman" w:cs="Times New Roman"/>
                <w:b/>
                <w:sz w:val="19"/>
              </w:rPr>
              <w:t>srw7</w:t>
            </w:r>
          </w:p>
        </w:tc>
        <w:tc>
          <w:tcPr>
            <w:tcW w:type="dxa" w:w="1324"/>
            <w:shd w:val="clear" w:color="auto" w:fill="DDDDDD"/>
          </w:tcPr>
          <w:p>
            <w:r>
              <w:rPr>
                <w:b/>
              </w:rPr>
            </w:r>
            <w:r>
              <w:rPr>
                <w:rFonts w:ascii="Calibri" w:hAnsi="Calibri" w:eastAsia="Times New Roman" w:cs="Times New Roman"/>
                <w:b/>
                <w:sz w:val="19"/>
              </w:rPr>
              <w:t>λ_cf</w:t>
            </w:r>
          </w:p>
        </w:tc>
        <w:tc>
          <w:tcPr>
            <w:tcW w:type="dxa" w:w="1324"/>
            <w:shd w:val="clear" w:color="auto" w:fill="DDDDDD"/>
          </w:tcPr>
          <w:p>
            <w:r>
              <w:rPr>
                <w:b/>
              </w:rPr>
            </w:r>
            <w:r>
              <w:rPr>
                <w:rFonts w:ascii="Calibri" w:hAnsi="Calibri" w:eastAsia="Times New Roman" w:cs="Times New Roman"/>
                <w:b/>
                <w:sz w:val="19"/>
              </w:rPr>
              <w:t>λ_rel</w:t>
            </w:r>
          </w:p>
        </w:tc>
        <w:tc>
          <w:tcPr>
            <w:tcW w:type="dxa" w:w="1324"/>
            <w:shd w:val="clear" w:color="auto" w:fill="DDDDDD"/>
          </w:tcPr>
          <w:p>
            <w:r>
              <w:rPr>
                <w:b/>
              </w:rPr>
            </w:r>
            <w:r>
              <w:rPr>
                <w:rFonts w:ascii="Calibri" w:hAnsi="Calibri" w:eastAsia="Times New Roman" w:cs="Times New Roman"/>
                <w:b/>
                <w:sz w:val="19"/>
              </w:rPr>
              <w:t>λ*_emp</w:t>
            </w:r>
          </w:p>
        </w:tc>
      </w:tr>
      <w:tr>
        <w:tc>
          <w:tcPr>
            <w:tcW w:type="dxa" w:w="1324"/>
          </w:tcPr>
          <w:p>
            <w:r/>
            <w:r>
              <w:rPr>
                <w:rFonts w:ascii="Calibri" w:hAnsi="Calibri" w:eastAsia="Times New Roman" w:cs="Times New Roman"/>
                <w:sz w:val="19"/>
              </w:rPr>
              <w:t>10</w:t>
            </w:r>
          </w:p>
        </w:tc>
        <w:tc>
          <w:tcPr>
            <w:tcW w:type="dxa" w:w="1324"/>
          </w:tcPr>
          <w:p>
            <w:r/>
            <w:r>
              <w:rPr>
                <w:rFonts w:ascii="Calibri" w:hAnsi="Calibri" w:eastAsia="Times New Roman" w:cs="Times New Roman"/>
                <w:sz w:val="19"/>
              </w:rPr>
              <w:t>0.6698</w:t>
            </w:r>
          </w:p>
        </w:tc>
        <w:tc>
          <w:tcPr>
            <w:tcW w:type="dxa" w:w="1324"/>
          </w:tcPr>
          <w:p>
            <w:r/>
            <w:r>
              <w:rPr>
                <w:rFonts w:ascii="Calibri" w:hAnsi="Calibri" w:eastAsia="Times New Roman" w:cs="Times New Roman"/>
                <w:sz w:val="19"/>
              </w:rPr>
              <w:t>+3.278</w:t>
            </w:r>
          </w:p>
        </w:tc>
        <w:tc>
          <w:tcPr>
            <w:tcW w:type="dxa" w:w="1324"/>
          </w:tcPr>
          <w:p>
            <w:r/>
            <w:r>
              <w:rPr>
                <w:rFonts w:ascii="Calibri" w:hAnsi="Calibri" w:eastAsia="Times New Roman" w:cs="Times New Roman"/>
                <w:sz w:val="19"/>
              </w:rPr>
              <w:t>+1.498</w:t>
            </w:r>
          </w:p>
        </w:tc>
        <w:tc>
          <w:tcPr>
            <w:tcW w:type="dxa" w:w="1324"/>
          </w:tcPr>
          <w:p>
            <w:r/>
            <w:r>
              <w:rPr>
                <w:rFonts w:ascii="Calibri" w:hAnsi="Calibri" w:eastAsia="Times New Roman" w:cs="Times New Roman"/>
                <w:sz w:val="19"/>
              </w:rPr>
              <w:t>+3.594</w:t>
            </w:r>
          </w:p>
        </w:tc>
        <w:tc>
          <w:tcPr>
            <w:tcW w:type="dxa" w:w="1324"/>
          </w:tcPr>
          <w:p>
            <w:r/>
            <w:r>
              <w:rPr>
                <w:rFonts w:ascii="Calibri" w:hAnsi="Calibri" w:eastAsia="Times New Roman" w:cs="Times New Roman"/>
                <w:sz w:val="19"/>
              </w:rPr>
              <w:t>+3.616</w:t>
            </w:r>
          </w:p>
        </w:tc>
        <w:tc>
          <w:tcPr>
            <w:tcW w:type="dxa" w:w="1324"/>
          </w:tcPr>
          <w:p>
            <w:r/>
            <w:r>
              <w:rPr>
                <w:rFonts w:ascii="Calibri" w:hAnsi="Calibri" w:eastAsia="Times New Roman" w:cs="Times New Roman"/>
                <w:b/>
                <w:sz w:val="19"/>
              </w:rPr>
              <w:t>+3.823</w:t>
            </w:r>
          </w:p>
        </w:tc>
        <w:tc>
          <w:tcPr>
            <w:tcW w:type="dxa" w:w="1324"/>
          </w:tcPr>
          <w:p>
            <w:r/>
            <w:r>
              <w:rPr>
                <w:rFonts w:ascii="Calibri" w:hAnsi="Calibri" w:eastAsia="Times New Roman" w:cs="Times New Roman"/>
                <w:sz w:val="19"/>
              </w:rPr>
              <w:t>0.7107</w:t>
            </w:r>
          </w:p>
        </w:tc>
        <w:tc>
          <w:tcPr>
            <w:tcW w:type="dxa" w:w="1324"/>
          </w:tcPr>
          <w:p>
            <w:r/>
            <w:r>
              <w:rPr>
                <w:rFonts w:ascii="Calibri" w:hAnsi="Calibri" w:eastAsia="Times New Roman" w:cs="Times New Roman"/>
                <w:sz w:val="19"/>
              </w:rPr>
              <w:t>0.7010</w:t>
            </w:r>
          </w:p>
        </w:tc>
        <w:tc>
          <w:tcPr>
            <w:tcW w:type="dxa" w:w="1324"/>
          </w:tcPr>
          <w:p>
            <w:r/>
            <w:r>
              <w:rPr>
                <w:rFonts w:ascii="Calibri" w:hAnsi="Calibri" w:eastAsia="Times New Roman" w:cs="Times New Roman"/>
                <w:sz w:val="19"/>
              </w:rPr>
              <w:t>0.7000</w:t>
            </w:r>
          </w:p>
        </w:tc>
      </w:tr>
      <w:tr>
        <w:tc>
          <w:tcPr>
            <w:tcW w:type="dxa" w:w="1324"/>
          </w:tcPr>
          <w:p>
            <w:r/>
            <w:r>
              <w:rPr>
                <w:rFonts w:ascii="Calibri" w:hAnsi="Calibri" w:eastAsia="Times New Roman" w:cs="Times New Roman"/>
                <w:sz w:val="19"/>
              </w:rPr>
              <w:t>25</w:t>
            </w:r>
          </w:p>
        </w:tc>
        <w:tc>
          <w:tcPr>
            <w:tcW w:type="dxa" w:w="1324"/>
          </w:tcPr>
          <w:p>
            <w:r/>
            <w:r>
              <w:rPr>
                <w:rFonts w:ascii="Calibri" w:hAnsi="Calibri" w:eastAsia="Times New Roman" w:cs="Times New Roman"/>
                <w:sz w:val="19"/>
              </w:rPr>
              <w:t>0.8060</w:t>
            </w:r>
          </w:p>
        </w:tc>
        <w:tc>
          <w:tcPr>
            <w:tcW w:type="dxa" w:w="1324"/>
          </w:tcPr>
          <w:p>
            <w:r/>
            <w:r>
              <w:rPr>
                <w:rFonts w:ascii="Calibri" w:hAnsi="Calibri" w:eastAsia="Times New Roman" w:cs="Times New Roman"/>
                <w:sz w:val="19"/>
              </w:rPr>
              <w:t>+1.586</w:t>
            </w:r>
          </w:p>
        </w:tc>
        <w:tc>
          <w:tcPr>
            <w:tcW w:type="dxa" w:w="1324"/>
          </w:tcPr>
          <w:p>
            <w:r/>
            <w:r>
              <w:rPr>
                <w:rFonts w:ascii="Calibri" w:hAnsi="Calibri" w:eastAsia="Times New Roman" w:cs="Times New Roman"/>
                <w:sz w:val="19"/>
              </w:rPr>
              <w:t>+0.523</w:t>
            </w:r>
          </w:p>
        </w:tc>
        <w:tc>
          <w:tcPr>
            <w:tcW w:type="dxa" w:w="1324"/>
          </w:tcPr>
          <w:p>
            <w:r/>
            <w:r>
              <w:rPr>
                <w:rFonts w:ascii="Calibri" w:hAnsi="Calibri" w:eastAsia="Times New Roman" w:cs="Times New Roman"/>
                <w:sz w:val="19"/>
              </w:rPr>
              <w:t>+1.930</w:t>
            </w:r>
          </w:p>
        </w:tc>
        <w:tc>
          <w:tcPr>
            <w:tcW w:type="dxa" w:w="1324"/>
          </w:tcPr>
          <w:p>
            <w:r/>
            <w:r>
              <w:rPr>
                <w:rFonts w:ascii="Calibri" w:hAnsi="Calibri" w:eastAsia="Times New Roman" w:cs="Times New Roman"/>
                <w:sz w:val="19"/>
              </w:rPr>
              <w:t>+1.829</w:t>
            </w:r>
          </w:p>
        </w:tc>
        <w:tc>
          <w:tcPr>
            <w:tcW w:type="dxa" w:w="1324"/>
          </w:tcPr>
          <w:p>
            <w:r/>
            <w:r>
              <w:rPr>
                <w:rFonts w:ascii="Calibri" w:hAnsi="Calibri" w:eastAsia="Times New Roman" w:cs="Times New Roman"/>
                <w:b/>
                <w:sz w:val="19"/>
              </w:rPr>
              <w:t>+2.025</w:t>
            </w:r>
          </w:p>
        </w:tc>
        <w:tc>
          <w:tcPr>
            <w:tcW w:type="dxa" w:w="1324"/>
          </w:tcPr>
          <w:p>
            <w:r/>
            <w:r>
              <w:rPr>
                <w:rFonts w:ascii="Calibri" w:hAnsi="Calibri" w:eastAsia="Times New Roman" w:cs="Times New Roman"/>
                <w:sz w:val="19"/>
              </w:rPr>
              <w:t>0.5197</w:t>
            </w:r>
          </w:p>
        </w:tc>
        <w:tc>
          <w:tcPr>
            <w:tcW w:type="dxa" w:w="1324"/>
          </w:tcPr>
          <w:p>
            <w:r/>
            <w:r>
              <w:rPr>
                <w:rFonts w:ascii="Calibri" w:hAnsi="Calibri" w:eastAsia="Times New Roman" w:cs="Times New Roman"/>
                <w:sz w:val="19"/>
              </w:rPr>
              <w:t>0.4902</w:t>
            </w:r>
          </w:p>
        </w:tc>
        <w:tc>
          <w:tcPr>
            <w:tcW w:type="dxa" w:w="1324"/>
          </w:tcPr>
          <w:p>
            <w:r/>
            <w:r>
              <w:rPr>
                <w:rFonts w:ascii="Calibri" w:hAnsi="Calibri" w:eastAsia="Times New Roman" w:cs="Times New Roman"/>
                <w:sz w:val="19"/>
              </w:rPr>
              <w:t>0.5270</w:t>
            </w:r>
          </w:p>
        </w:tc>
      </w:tr>
      <w:tr>
        <w:tc>
          <w:tcPr>
            <w:tcW w:type="dxa" w:w="1324"/>
          </w:tcPr>
          <w:p>
            <w:r/>
            <w:r>
              <w:rPr>
                <w:rFonts w:ascii="Calibri" w:hAnsi="Calibri" w:eastAsia="Times New Roman" w:cs="Times New Roman"/>
                <w:sz w:val="19"/>
              </w:rPr>
              <w:t>50</w:t>
            </w:r>
          </w:p>
        </w:tc>
        <w:tc>
          <w:tcPr>
            <w:tcW w:type="dxa" w:w="1324"/>
          </w:tcPr>
          <w:p>
            <w:r/>
            <w:r>
              <w:rPr>
                <w:rFonts w:ascii="Calibri" w:hAnsi="Calibri" w:eastAsia="Times New Roman" w:cs="Times New Roman"/>
                <w:sz w:val="19"/>
              </w:rPr>
              <w:t>0.8824</w:t>
            </w:r>
          </w:p>
        </w:tc>
        <w:tc>
          <w:tcPr>
            <w:tcW w:type="dxa" w:w="1324"/>
          </w:tcPr>
          <w:p>
            <w:r/>
            <w:r>
              <w:rPr>
                <w:rFonts w:ascii="Calibri" w:hAnsi="Calibri" w:eastAsia="Times New Roman" w:cs="Times New Roman"/>
                <w:sz w:val="19"/>
              </w:rPr>
              <w:t>+0.659</w:t>
            </w:r>
          </w:p>
        </w:tc>
        <w:tc>
          <w:tcPr>
            <w:tcW w:type="dxa" w:w="1324"/>
          </w:tcPr>
          <w:p>
            <w:r/>
            <w:r>
              <w:rPr>
                <w:rFonts w:ascii="Calibri" w:hAnsi="Calibri" w:eastAsia="Times New Roman" w:cs="Times New Roman"/>
                <w:sz w:val="19"/>
              </w:rPr>
              <w:t>+0.181</w:t>
            </w:r>
          </w:p>
        </w:tc>
        <w:tc>
          <w:tcPr>
            <w:tcW w:type="dxa" w:w="1324"/>
          </w:tcPr>
          <w:p>
            <w:r/>
            <w:r>
              <w:rPr>
                <w:rFonts w:ascii="Calibri" w:hAnsi="Calibri" w:eastAsia="Times New Roman" w:cs="Times New Roman"/>
                <w:sz w:val="19"/>
              </w:rPr>
              <w:t>+0.850</w:t>
            </w:r>
          </w:p>
        </w:tc>
        <w:tc>
          <w:tcPr>
            <w:tcW w:type="dxa" w:w="1324"/>
          </w:tcPr>
          <w:p>
            <w:r/>
            <w:r>
              <w:rPr>
                <w:rFonts w:ascii="Calibri" w:hAnsi="Calibri" w:eastAsia="Times New Roman" w:cs="Times New Roman"/>
                <w:sz w:val="19"/>
              </w:rPr>
              <w:t>+0.806</w:t>
            </w:r>
          </w:p>
        </w:tc>
        <w:tc>
          <w:tcPr>
            <w:tcW w:type="dxa" w:w="1324"/>
          </w:tcPr>
          <w:p>
            <w:r/>
            <w:r>
              <w:rPr>
                <w:rFonts w:ascii="Calibri" w:hAnsi="Calibri" w:eastAsia="Times New Roman" w:cs="Times New Roman"/>
                <w:b/>
                <w:sz w:val="19"/>
              </w:rPr>
              <w:t>+0.930</w:t>
            </w:r>
          </w:p>
        </w:tc>
        <w:tc>
          <w:tcPr>
            <w:tcW w:type="dxa" w:w="1324"/>
          </w:tcPr>
          <w:p>
            <w:r/>
            <w:r>
              <w:rPr>
                <w:rFonts w:ascii="Calibri" w:hAnsi="Calibri" w:eastAsia="Times New Roman" w:cs="Times New Roman"/>
                <w:sz w:val="19"/>
              </w:rPr>
              <w:t>0.3678</w:t>
            </w:r>
          </w:p>
        </w:tc>
        <w:tc>
          <w:tcPr>
            <w:tcW w:type="dxa" w:w="1324"/>
          </w:tcPr>
          <w:p>
            <w:r/>
            <w:r>
              <w:rPr>
                <w:rFonts w:ascii="Calibri" w:hAnsi="Calibri" w:eastAsia="Times New Roman" w:cs="Times New Roman"/>
                <w:sz w:val="19"/>
              </w:rPr>
              <w:t>0.3136</w:t>
            </w:r>
          </w:p>
        </w:tc>
        <w:tc>
          <w:tcPr>
            <w:tcW w:type="dxa" w:w="1324"/>
          </w:tcPr>
          <w:p>
            <w:r/>
            <w:r>
              <w:rPr>
                <w:rFonts w:ascii="Calibri" w:hAnsi="Calibri" w:eastAsia="Times New Roman" w:cs="Times New Roman"/>
                <w:sz w:val="19"/>
              </w:rPr>
              <w:t>0.3723</w:t>
            </w:r>
          </w:p>
        </w:tc>
      </w:tr>
      <w:tr>
        <w:tc>
          <w:tcPr>
            <w:tcW w:type="dxa" w:w="1324"/>
          </w:tcPr>
          <w:p>
            <w:r/>
            <w:r>
              <w:rPr>
                <w:rFonts w:ascii="Calibri" w:hAnsi="Calibri" w:eastAsia="Times New Roman" w:cs="Times New Roman"/>
                <w:sz w:val="19"/>
              </w:rPr>
              <w:t>100</w:t>
            </w:r>
          </w:p>
        </w:tc>
        <w:tc>
          <w:tcPr>
            <w:tcW w:type="dxa" w:w="1324"/>
          </w:tcPr>
          <w:p>
            <w:r/>
            <w:r>
              <w:rPr>
                <w:rFonts w:ascii="Calibri" w:hAnsi="Calibri" w:eastAsia="Times New Roman" w:cs="Times New Roman"/>
                <w:sz w:val="19"/>
              </w:rPr>
              <w:t>0.9248</w:t>
            </w:r>
          </w:p>
        </w:tc>
        <w:tc>
          <w:tcPr>
            <w:tcW w:type="dxa" w:w="1324"/>
          </w:tcPr>
          <w:p>
            <w:r/>
            <w:r>
              <w:rPr>
                <w:rFonts w:ascii="Calibri" w:hAnsi="Calibri" w:eastAsia="Times New Roman" w:cs="Times New Roman"/>
                <w:sz w:val="19"/>
              </w:rPr>
              <w:t>+0.243</w:t>
            </w:r>
          </w:p>
        </w:tc>
        <w:tc>
          <w:tcPr>
            <w:tcW w:type="dxa" w:w="1324"/>
          </w:tcPr>
          <w:p>
            <w:r/>
            <w:r>
              <w:rPr>
                <w:rFonts w:ascii="Calibri" w:hAnsi="Calibri" w:eastAsia="Times New Roman" w:cs="Times New Roman"/>
                <w:sz w:val="19"/>
              </w:rPr>
              <w:t>+0.073</w:t>
            </w:r>
          </w:p>
        </w:tc>
        <w:tc>
          <w:tcPr>
            <w:tcW w:type="dxa" w:w="1324"/>
          </w:tcPr>
          <w:p>
            <w:r/>
            <w:r>
              <w:rPr>
                <w:rFonts w:ascii="Calibri" w:hAnsi="Calibri" w:eastAsia="Times New Roman" w:cs="Times New Roman"/>
                <w:sz w:val="19"/>
              </w:rPr>
              <w:t>+0.327</w:t>
            </w:r>
          </w:p>
        </w:tc>
        <w:tc>
          <w:tcPr>
            <w:tcW w:type="dxa" w:w="1324"/>
          </w:tcPr>
          <w:p>
            <w:r/>
            <w:r>
              <w:rPr>
                <w:rFonts w:ascii="Calibri" w:hAnsi="Calibri" w:eastAsia="Times New Roman" w:cs="Times New Roman"/>
                <w:sz w:val="19"/>
              </w:rPr>
              <w:t>+0.335</w:t>
            </w:r>
          </w:p>
        </w:tc>
        <w:tc>
          <w:tcPr>
            <w:tcW w:type="dxa" w:w="1324"/>
          </w:tcPr>
          <w:p>
            <w:r/>
            <w:r>
              <w:rPr>
                <w:rFonts w:ascii="Calibri" w:hAnsi="Calibri" w:eastAsia="Times New Roman" w:cs="Times New Roman"/>
                <w:b/>
                <w:sz w:val="19"/>
              </w:rPr>
              <w:t>+0.391</w:t>
            </w:r>
          </w:p>
        </w:tc>
        <w:tc>
          <w:tcPr>
            <w:tcW w:type="dxa" w:w="1324"/>
          </w:tcPr>
          <w:p>
            <w:r/>
            <w:r>
              <w:rPr>
                <w:rFonts w:ascii="Calibri" w:hAnsi="Calibri" w:eastAsia="Times New Roman" w:cs="Times New Roman"/>
                <w:sz w:val="19"/>
              </w:rPr>
              <w:t>0.2383</w:t>
            </w:r>
          </w:p>
        </w:tc>
        <w:tc>
          <w:tcPr>
            <w:tcW w:type="dxa" w:w="1324"/>
          </w:tcPr>
          <w:p>
            <w:r/>
            <w:r>
              <w:rPr>
                <w:rFonts w:ascii="Calibri" w:hAnsi="Calibri" w:eastAsia="Times New Roman" w:cs="Times New Roman"/>
                <w:sz w:val="19"/>
              </w:rPr>
              <w:t>0.1881</w:t>
            </w:r>
          </w:p>
        </w:tc>
        <w:tc>
          <w:tcPr>
            <w:tcW w:type="dxa" w:w="1324"/>
          </w:tcPr>
          <w:p>
            <w:r/>
            <w:r>
              <w:rPr>
                <w:rFonts w:ascii="Calibri" w:hAnsi="Calibri" w:eastAsia="Times New Roman" w:cs="Times New Roman"/>
                <w:sz w:val="19"/>
              </w:rPr>
              <w:t>0.2370</w:t>
            </w:r>
          </w:p>
        </w:tc>
      </w:tr>
      <w:tr>
        <w:tc>
          <w:tcPr>
            <w:tcW w:type="dxa" w:w="1324"/>
          </w:tcPr>
          <w:p>
            <w:r/>
            <w:r>
              <w:rPr>
                <w:rFonts w:ascii="Calibri" w:hAnsi="Calibri" w:eastAsia="Times New Roman" w:cs="Times New Roman"/>
                <w:sz w:val="19"/>
              </w:rPr>
              <w:t>200</w:t>
            </w:r>
          </w:p>
        </w:tc>
        <w:tc>
          <w:tcPr>
            <w:tcW w:type="dxa" w:w="1324"/>
          </w:tcPr>
          <w:p>
            <w:r/>
            <w:r>
              <w:rPr>
                <w:rFonts w:ascii="Calibri" w:hAnsi="Calibri" w:eastAsia="Times New Roman" w:cs="Times New Roman"/>
                <w:sz w:val="19"/>
              </w:rPr>
              <w:t>0.9502</w:t>
            </w:r>
          </w:p>
        </w:tc>
        <w:tc>
          <w:tcPr>
            <w:tcW w:type="dxa" w:w="1324"/>
          </w:tcPr>
          <w:p>
            <w:r/>
            <w:r>
              <w:rPr>
                <w:rFonts w:ascii="Calibri" w:hAnsi="Calibri" w:eastAsia="Times New Roman" w:cs="Times New Roman"/>
                <w:sz w:val="19"/>
              </w:rPr>
              <w:t>+0.071</w:t>
            </w:r>
          </w:p>
        </w:tc>
        <w:tc>
          <w:tcPr>
            <w:tcW w:type="dxa" w:w="1324"/>
          </w:tcPr>
          <w:p>
            <w:r/>
            <w:r>
              <w:rPr>
                <w:rFonts w:ascii="Calibri" w:hAnsi="Calibri" w:eastAsia="Times New Roman" w:cs="Times New Roman"/>
                <w:sz w:val="19"/>
              </w:rPr>
              <w:t>+0.013</w:t>
            </w:r>
          </w:p>
        </w:tc>
        <w:tc>
          <w:tcPr>
            <w:tcW w:type="dxa" w:w="1324"/>
          </w:tcPr>
          <w:p>
            <w:r/>
            <w:r>
              <w:rPr>
                <w:rFonts w:ascii="Calibri" w:hAnsi="Calibri" w:eastAsia="Times New Roman" w:cs="Times New Roman"/>
                <w:sz w:val="19"/>
              </w:rPr>
              <w:t>+0.111</w:t>
            </w:r>
          </w:p>
        </w:tc>
        <w:tc>
          <w:tcPr>
            <w:tcW w:type="dxa" w:w="1324"/>
          </w:tcPr>
          <w:p>
            <w:r/>
            <w:r>
              <w:rPr>
                <w:rFonts w:ascii="Calibri" w:hAnsi="Calibri" w:eastAsia="Times New Roman" w:cs="Times New Roman"/>
                <w:sz w:val="19"/>
              </w:rPr>
              <w:t>+0.108</w:t>
            </w:r>
          </w:p>
        </w:tc>
        <w:tc>
          <w:tcPr>
            <w:tcW w:type="dxa" w:w="1324"/>
          </w:tcPr>
          <w:p>
            <w:r/>
            <w:r>
              <w:rPr>
                <w:rFonts w:ascii="Calibri" w:hAnsi="Calibri" w:eastAsia="Times New Roman" w:cs="Times New Roman"/>
                <w:b/>
                <w:sz w:val="19"/>
              </w:rPr>
              <w:t>+0.138</w:t>
            </w:r>
          </w:p>
        </w:tc>
        <w:tc>
          <w:tcPr>
            <w:tcW w:type="dxa" w:w="1324"/>
          </w:tcPr>
          <w:p>
            <w:r/>
            <w:r>
              <w:rPr>
                <w:rFonts w:ascii="Calibri" w:hAnsi="Calibri" w:eastAsia="Times New Roman" w:cs="Times New Roman"/>
                <w:sz w:val="19"/>
              </w:rPr>
              <w:t>0.1440</w:t>
            </w:r>
          </w:p>
        </w:tc>
        <w:tc>
          <w:tcPr>
            <w:tcW w:type="dxa" w:w="1324"/>
          </w:tcPr>
          <w:p>
            <w:r/>
            <w:r>
              <w:rPr>
                <w:rFonts w:ascii="Calibri" w:hAnsi="Calibri" w:eastAsia="Times New Roman" w:cs="Times New Roman"/>
                <w:sz w:val="19"/>
              </w:rPr>
              <w:t>0.1041</w:t>
            </w:r>
          </w:p>
        </w:tc>
        <w:tc>
          <w:tcPr>
            <w:tcW w:type="dxa" w:w="1324"/>
          </w:tcPr>
          <w:p>
            <w:r/>
            <w:r>
              <w:rPr>
                <w:rFonts w:ascii="Calibri" w:hAnsi="Calibri" w:eastAsia="Times New Roman" w:cs="Times New Roman"/>
                <w:sz w:val="19"/>
              </w:rPr>
              <w:t>0.1333</w:t>
            </w:r>
          </w:p>
        </w:tc>
      </w:tr>
    </w:tbl>
    <w:p/>
    <w:p>
      <w:pPr>
        <w:spacing w:before="40" w:after="40"/>
        <w:ind w:left="360"/>
        <w:pBdr>
          <w:left w:val="single" w:sz="12" w:space="6" w:color="888888"/>
        </w:pBdr>
      </w:pPr>
      <w:r>
        <w:rPr>
          <w:rFonts w:ascii="Calibri" w:hAnsi="Calibri" w:eastAsia="Times New Roman" w:cs="Times New Roman"/>
          <w:i/>
          <w:color w:val="555555"/>
          <w:sz w:val="19"/>
        </w:rPr>
        <w:t xml:space="preserve">Recompute command: </w:t>
      </w:r>
      <w:r>
        <w:rPr>
          <w:rFonts w:ascii="Consolas" w:hAnsi="Consolas" w:eastAsia="Times New Roman" w:cs="Times New Roman"/>
          <w:i/>
          <w:color w:val="555555"/>
          <w:sz w:val="19"/>
        </w:rPr>
        <w:t>python results/code/o11_fusion_optimization.py</w:t>
      </w:r>
      <w:r>
        <w:rPr>
          <w:rFonts w:ascii="Calibri" w:hAnsi="Calibri" w:eastAsia="Times New Roman" w:cs="Times New Roman"/>
          <w:i/>
          <w:color w:val="555555"/>
          <w:sz w:val="19"/>
        </w:rPr>
        <w:t xml:space="preserve"> (output: </w:t>
      </w:r>
      <w:r>
        <w:rPr>
          <w:rFonts w:ascii="Consolas" w:hAnsi="Consolas" w:eastAsia="Times New Roman" w:cs="Times New Roman"/>
          <w:i/>
          <w:color w:val="555555"/>
          <w:sz w:val="19"/>
        </w:rPr>
        <w:t>results/code/o11_fusion_optimization.json</w:t>
      </w:r>
      <w:r>
        <w:rPr>
          <w:rFonts w:ascii="Calibri" w:hAnsi="Calibri" w:eastAsia="Times New Roman" w:cs="Times New Roman"/>
          <w:i/>
          <w:color w:val="555555"/>
          <w:sz w:val="19"/>
        </w:rPr>
        <w:t>). The script depends on numpy and must be run with an interpreter that has numpy installed (the project venv lacks numpy; this round was run with Python 3.13 + numpy 2.5.3 and passed).</w:t>
      </w:r>
    </w:p>
    <w:p>
      <w:pPr>
        <w:spacing w:after="120"/>
      </w:pPr>
      <w:r>
        <w:rPr>
          <w:rFonts w:ascii="Calibri" w:hAnsi="Calibri" w:eastAsia="Times New Roman" w:cs="Times New Roman"/>
          <w:b/>
          <w:sz w:val="21"/>
        </w:rPr>
        <w:t>Table 7-2. Student-level holdout gain (O12, unit pp)</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891"/>
        <w:gridCol w:w="1891"/>
        <w:gridCol w:w="1891"/>
        <w:gridCol w:w="1891"/>
        <w:gridCol w:w="1891"/>
        <w:gridCol w:w="1891"/>
        <w:gridCol w:w="1891"/>
      </w:tblGrid>
      <w:tr>
        <w:tc>
          <w:tcPr>
            <w:tcW w:type="dxa" w:w="1891"/>
            <w:shd w:val="clear" w:color="auto" w:fill="DDDDDD"/>
          </w:tcPr>
          <w:p>
            <w:r>
              <w:rPr>
                <w:b/>
              </w:rPr>
            </w:r>
            <w:r>
              <w:rPr>
                <w:rFonts w:ascii="Calibri" w:hAnsi="Calibri" w:eastAsia="Times New Roman" w:cs="Times New Roman"/>
                <w:b/>
                <w:sz w:val="19"/>
              </w:rPr>
              <w:t>k</w:t>
            </w:r>
          </w:p>
        </w:tc>
        <w:tc>
          <w:tcPr>
            <w:tcW w:type="dxa" w:w="1891"/>
            <w:shd w:val="clear" w:color="auto" w:fill="DDDDDD"/>
          </w:tcPr>
          <w:p>
            <w:r>
              <w:rPr>
                <w:b/>
              </w:rPr>
            </w:r>
            <w:r>
              <w:rPr>
                <w:rFonts w:ascii="Calibri" w:hAnsi="Calibri" w:eastAsia="Times New Roman" w:cs="Times New Roman"/>
                <w:b/>
                <w:sz w:val="19"/>
              </w:rPr>
              <w:t>Success-only</w:t>
            </w:r>
          </w:p>
        </w:tc>
        <w:tc>
          <w:tcPr>
            <w:tcW w:type="dxa" w:w="1891"/>
            <w:shd w:val="clear" w:color="auto" w:fill="DDDDDD"/>
          </w:tcPr>
          <w:p>
            <w:r>
              <w:rPr>
                <w:b/>
              </w:rPr>
            </w:r>
            <w:r>
              <w:rPr>
                <w:rFonts w:ascii="Calibri" w:hAnsi="Calibri" w:eastAsia="Times New Roman" w:cs="Times New Roman"/>
                <w:b/>
                <w:sz w:val="19"/>
              </w:rPr>
              <w:t>fused6</w:t>
            </w:r>
          </w:p>
        </w:tc>
        <w:tc>
          <w:tcPr>
            <w:tcW w:type="dxa" w:w="1891"/>
            <w:shd w:val="clear" w:color="auto" w:fill="DDDDDD"/>
          </w:tcPr>
          <w:p>
            <w:r>
              <w:rPr>
                <w:b/>
              </w:rPr>
            </w:r>
            <w:r>
              <w:rPr>
                <w:rFonts w:ascii="Calibri" w:hAnsi="Calibri" w:eastAsia="Times New Roman" w:cs="Times New Roman"/>
                <w:b/>
                <w:sz w:val="19"/>
              </w:rPr>
              <w:t>srw7 (λ_cf)</w:t>
            </w:r>
          </w:p>
        </w:tc>
        <w:tc>
          <w:tcPr>
            <w:tcW w:type="dxa" w:w="1891"/>
            <w:shd w:val="clear" w:color="auto" w:fill="DDDDDD"/>
          </w:tcPr>
          <w:p>
            <w:r>
              <w:rPr>
                <w:b/>
              </w:rPr>
            </w:r>
            <w:r>
              <w:rPr>
                <w:rFonts w:ascii="Calibri" w:hAnsi="Calibri" w:eastAsia="Times New Roman" w:cs="Times New Roman"/>
                <w:b/>
                <w:sz w:val="19"/>
              </w:rPr>
              <w:t>srw7 − fused6</w:t>
            </w:r>
          </w:p>
        </w:tc>
        <w:tc>
          <w:tcPr>
            <w:tcW w:type="dxa" w:w="1891"/>
            <w:shd w:val="clear" w:color="auto" w:fill="DDDDDD"/>
          </w:tcPr>
          <w:p>
            <w:r>
              <w:rPr>
                <w:b/>
              </w:rPr>
            </w:r>
            <w:r>
              <w:rPr>
                <w:rFonts w:ascii="Calibri" w:hAnsi="Calibri" w:eastAsia="Times New Roman" w:cs="Times New Roman"/>
                <w:b/>
                <w:sz w:val="19"/>
              </w:rPr>
              <w:t>win rate</w:t>
            </w:r>
          </w:p>
        </w:tc>
        <w:tc>
          <w:tcPr>
            <w:tcW w:type="dxa" w:w="1891"/>
            <w:shd w:val="clear" w:color="auto" w:fill="DDDDDD"/>
          </w:tcPr>
          <w:p>
            <w:r>
              <w:rPr>
                <w:b/>
              </w:rPr>
            </w:r>
            <w:r>
              <w:rPr>
                <w:rFonts w:ascii="Calibri" w:hAnsi="Calibri" w:eastAsia="Times New Roman" w:cs="Times New Roman"/>
                <w:b/>
                <w:sz w:val="19"/>
              </w:rPr>
              <w:t>Wilcoxon p</w:t>
            </w:r>
          </w:p>
        </w:tc>
      </w:tr>
      <w:tr>
        <w:tc>
          <w:tcPr>
            <w:tcW w:type="dxa" w:w="1891"/>
          </w:tcPr>
          <w:p>
            <w:r/>
            <w:r>
              <w:rPr>
                <w:rFonts w:ascii="Calibri" w:hAnsi="Calibri" w:eastAsia="Times New Roman" w:cs="Times New Roman"/>
                <w:sz w:val="19"/>
              </w:rPr>
              <w:t>10</w:t>
            </w:r>
          </w:p>
        </w:tc>
        <w:tc>
          <w:tcPr>
            <w:tcW w:type="dxa" w:w="1891"/>
          </w:tcPr>
          <w:p>
            <w:r/>
            <w:r>
              <w:rPr>
                <w:rFonts w:ascii="Calibri" w:hAnsi="Calibri" w:eastAsia="Times New Roman" w:cs="Times New Roman"/>
                <w:sz w:val="19"/>
              </w:rPr>
              <w:t>0.6631</w:t>
            </w:r>
          </w:p>
        </w:tc>
        <w:tc>
          <w:tcPr>
            <w:tcW w:type="dxa" w:w="1891"/>
          </w:tcPr>
          <w:p>
            <w:r/>
            <w:r>
              <w:rPr>
                <w:rFonts w:ascii="Calibri" w:hAnsi="Calibri" w:eastAsia="Times New Roman" w:cs="Times New Roman"/>
                <w:sz w:val="19"/>
              </w:rPr>
              <w:t>+2.390</w:t>
            </w:r>
          </w:p>
        </w:tc>
        <w:tc>
          <w:tcPr>
            <w:tcW w:type="dxa" w:w="1891"/>
          </w:tcPr>
          <w:p>
            <w:r/>
            <w:r>
              <w:rPr>
                <w:rFonts w:ascii="Calibri" w:hAnsi="Calibri" w:eastAsia="Times New Roman" w:cs="Times New Roman"/>
                <w:b/>
                <w:sz w:val="19"/>
              </w:rPr>
              <w:t>+4.283</w:t>
            </w:r>
          </w:p>
        </w:tc>
        <w:tc>
          <w:tcPr>
            <w:tcW w:type="dxa" w:w="1891"/>
          </w:tcPr>
          <w:p>
            <w:r/>
            <w:r>
              <w:rPr>
                <w:rFonts w:ascii="Calibri" w:hAnsi="Calibri" w:eastAsia="Times New Roman" w:cs="Times New Roman"/>
                <w:sz w:val="19"/>
              </w:rPr>
              <w:t>+0.662</w:t>
            </w:r>
          </w:p>
        </w:tc>
        <w:tc>
          <w:tcPr>
            <w:tcW w:type="dxa" w:w="1891"/>
          </w:tcPr>
          <w:p>
            <w:r/>
            <w:r>
              <w:rPr>
                <w:rFonts w:ascii="Calibri" w:hAnsi="Calibri" w:eastAsia="Times New Roman" w:cs="Times New Roman"/>
                <w:sz w:val="19"/>
              </w:rPr>
              <w:t>0.902</w:t>
            </w:r>
          </w:p>
        </w:tc>
        <w:tc>
          <w:tcPr>
            <w:tcW w:type="dxa" w:w="1891"/>
          </w:tcPr>
          <w:p>
            <w:r/>
            <w:r>
              <w:rPr>
                <w:rFonts w:ascii="Calibri" w:hAnsi="Calibri" w:eastAsia="Times New Roman" w:cs="Times New Roman"/>
                <w:sz w:val="19"/>
              </w:rPr>
              <w:t>1.15e-66</w:t>
            </w:r>
          </w:p>
        </w:tc>
      </w:tr>
      <w:tr>
        <w:tc>
          <w:tcPr>
            <w:tcW w:type="dxa" w:w="1891"/>
          </w:tcPr>
          <w:p>
            <w:r/>
            <w:r>
              <w:rPr>
                <w:rFonts w:ascii="Calibri" w:hAnsi="Calibri" w:eastAsia="Times New Roman" w:cs="Times New Roman"/>
                <w:sz w:val="19"/>
              </w:rPr>
              <w:t>25</w:t>
            </w:r>
          </w:p>
        </w:tc>
        <w:tc>
          <w:tcPr>
            <w:tcW w:type="dxa" w:w="1891"/>
          </w:tcPr>
          <w:p>
            <w:r/>
            <w:r>
              <w:rPr>
                <w:rFonts w:ascii="Calibri" w:hAnsi="Calibri" w:eastAsia="Times New Roman" w:cs="Times New Roman"/>
                <w:sz w:val="19"/>
              </w:rPr>
              <w:t>0.8133</w:t>
            </w:r>
          </w:p>
        </w:tc>
        <w:tc>
          <w:tcPr>
            <w:tcW w:type="dxa" w:w="1891"/>
          </w:tcPr>
          <w:p>
            <w:r/>
            <w:r>
              <w:rPr>
                <w:rFonts w:ascii="Calibri" w:hAnsi="Calibri" w:eastAsia="Times New Roman" w:cs="Times New Roman"/>
                <w:sz w:val="19"/>
              </w:rPr>
              <w:t>−1.402</w:t>
            </w:r>
          </w:p>
        </w:tc>
        <w:tc>
          <w:tcPr>
            <w:tcW w:type="dxa" w:w="1891"/>
          </w:tcPr>
          <w:p>
            <w:r/>
            <w:r>
              <w:rPr>
                <w:rFonts w:ascii="Calibri" w:hAnsi="Calibri" w:eastAsia="Times New Roman" w:cs="Times New Roman"/>
                <w:b/>
                <w:sz w:val="19"/>
              </w:rPr>
              <w:t>+2.189</w:t>
            </w:r>
          </w:p>
        </w:tc>
        <w:tc>
          <w:tcPr>
            <w:tcW w:type="dxa" w:w="1891"/>
          </w:tcPr>
          <w:p>
            <w:r/>
            <w:r>
              <w:rPr>
                <w:rFonts w:ascii="Calibri" w:hAnsi="Calibri" w:eastAsia="Times New Roman" w:cs="Times New Roman"/>
                <w:sz w:val="19"/>
              </w:rPr>
              <w:t>+0.557</w:t>
            </w:r>
          </w:p>
        </w:tc>
        <w:tc>
          <w:tcPr>
            <w:tcW w:type="dxa" w:w="1891"/>
          </w:tcPr>
          <w:p>
            <w:r/>
            <w:r>
              <w:rPr>
                <w:rFonts w:ascii="Calibri" w:hAnsi="Calibri" w:eastAsia="Times New Roman" w:cs="Times New Roman"/>
                <w:sz w:val="19"/>
              </w:rPr>
              <w:t>1.000</w:t>
            </w:r>
          </w:p>
        </w:tc>
        <w:tc>
          <w:tcPr>
            <w:tcW w:type="dxa" w:w="1891"/>
          </w:tcPr>
          <w:p>
            <w:r/>
            <w:r>
              <w:rPr>
                <w:rFonts w:ascii="Calibri" w:hAnsi="Calibri" w:eastAsia="Times New Roman" w:cs="Times New Roman"/>
                <w:sz w:val="19"/>
              </w:rPr>
              <w:t>1.26e-83</w:t>
            </w:r>
          </w:p>
        </w:tc>
      </w:tr>
      <w:tr>
        <w:tc>
          <w:tcPr>
            <w:tcW w:type="dxa" w:w="1891"/>
          </w:tcPr>
          <w:p>
            <w:r/>
            <w:r>
              <w:rPr>
                <w:rFonts w:ascii="Calibri" w:hAnsi="Calibri" w:eastAsia="Times New Roman" w:cs="Times New Roman"/>
                <w:sz w:val="19"/>
              </w:rPr>
              <w:t>50</w:t>
            </w:r>
          </w:p>
        </w:tc>
        <w:tc>
          <w:tcPr>
            <w:tcW w:type="dxa" w:w="1891"/>
          </w:tcPr>
          <w:p>
            <w:r/>
            <w:r>
              <w:rPr>
                <w:rFonts w:ascii="Calibri" w:hAnsi="Calibri" w:eastAsia="Times New Roman" w:cs="Times New Roman"/>
                <w:sz w:val="19"/>
              </w:rPr>
              <w:t>0.8881</w:t>
            </w:r>
          </w:p>
        </w:tc>
        <w:tc>
          <w:tcPr>
            <w:tcW w:type="dxa" w:w="1891"/>
          </w:tcPr>
          <w:p>
            <w:r/>
            <w:r>
              <w:rPr>
                <w:rFonts w:ascii="Calibri" w:hAnsi="Calibri" w:eastAsia="Times New Roman" w:cs="Times New Roman"/>
                <w:sz w:val="19"/>
              </w:rPr>
              <w:t>−3.905</w:t>
            </w:r>
          </w:p>
        </w:tc>
        <w:tc>
          <w:tcPr>
            <w:tcW w:type="dxa" w:w="1891"/>
          </w:tcPr>
          <w:p>
            <w:r/>
            <w:r>
              <w:rPr>
                <w:rFonts w:ascii="Calibri" w:hAnsi="Calibri" w:eastAsia="Times New Roman" w:cs="Times New Roman"/>
                <w:b/>
                <w:sz w:val="19"/>
              </w:rPr>
              <w:t>+0.951</w:t>
            </w:r>
          </w:p>
        </w:tc>
        <w:tc>
          <w:tcPr>
            <w:tcW w:type="dxa" w:w="1891"/>
          </w:tcPr>
          <w:p>
            <w:r/>
            <w:r>
              <w:rPr>
                <w:rFonts w:ascii="Calibri" w:hAnsi="Calibri" w:eastAsia="Times New Roman" w:cs="Times New Roman"/>
                <w:sz w:val="19"/>
              </w:rPr>
              <w:t>+0.317</w:t>
            </w:r>
          </w:p>
        </w:tc>
        <w:tc>
          <w:tcPr>
            <w:tcW w:type="dxa" w:w="1891"/>
          </w:tcPr>
          <w:p>
            <w:r/>
            <w:r>
              <w:rPr>
                <w:rFonts w:ascii="Calibri" w:hAnsi="Calibri" w:eastAsia="Times New Roman" w:cs="Times New Roman"/>
                <w:sz w:val="19"/>
              </w:rPr>
              <w:t>1.000</w:t>
            </w:r>
          </w:p>
        </w:tc>
        <w:tc>
          <w:tcPr>
            <w:tcW w:type="dxa" w:w="1891"/>
          </w:tcPr>
          <w:p>
            <w:r/>
            <w:r>
              <w:rPr>
                <w:rFonts w:ascii="Calibri" w:hAnsi="Calibri" w:eastAsia="Times New Roman" w:cs="Times New Roman"/>
                <w:sz w:val="19"/>
              </w:rPr>
              <w:t>1.26e-83</w:t>
            </w:r>
          </w:p>
        </w:tc>
      </w:tr>
      <w:tr>
        <w:tc>
          <w:tcPr>
            <w:tcW w:type="dxa" w:w="1891"/>
          </w:tcPr>
          <w:p>
            <w:r/>
            <w:r>
              <w:rPr>
                <w:rFonts w:ascii="Calibri" w:hAnsi="Calibri" w:eastAsia="Times New Roman" w:cs="Times New Roman"/>
                <w:sz w:val="19"/>
              </w:rPr>
              <w:t>100</w:t>
            </w:r>
          </w:p>
        </w:tc>
        <w:tc>
          <w:tcPr>
            <w:tcW w:type="dxa" w:w="1891"/>
          </w:tcPr>
          <w:p>
            <w:r/>
            <w:r>
              <w:rPr>
                <w:rFonts w:ascii="Calibri" w:hAnsi="Calibri" w:eastAsia="Times New Roman" w:cs="Times New Roman"/>
                <w:sz w:val="19"/>
              </w:rPr>
              <w:t>0.9356</w:t>
            </w:r>
          </w:p>
        </w:tc>
        <w:tc>
          <w:tcPr>
            <w:tcW w:type="dxa" w:w="1891"/>
          </w:tcPr>
          <w:p>
            <w:r/>
            <w:r>
              <w:rPr>
                <w:rFonts w:ascii="Calibri" w:hAnsi="Calibri" w:eastAsia="Times New Roman" w:cs="Times New Roman"/>
                <w:sz w:val="19"/>
              </w:rPr>
              <w:t>−5.728</w:t>
            </w:r>
          </w:p>
        </w:tc>
        <w:tc>
          <w:tcPr>
            <w:tcW w:type="dxa" w:w="1891"/>
          </w:tcPr>
          <w:p>
            <w:r/>
            <w:r>
              <w:rPr>
                <w:rFonts w:ascii="Calibri" w:hAnsi="Calibri" w:eastAsia="Times New Roman" w:cs="Times New Roman"/>
                <w:b/>
                <w:sz w:val="19"/>
              </w:rPr>
              <w:t>+0.335</w:t>
            </w:r>
          </w:p>
        </w:tc>
        <w:tc>
          <w:tcPr>
            <w:tcW w:type="dxa" w:w="1891"/>
          </w:tcPr>
          <w:p>
            <w:r/>
            <w:r>
              <w:rPr>
                <w:rFonts w:ascii="Calibri" w:hAnsi="Calibri" w:eastAsia="Times New Roman" w:cs="Times New Roman"/>
                <w:sz w:val="19"/>
              </w:rPr>
              <w:t>+0.169</w:t>
            </w:r>
          </w:p>
        </w:tc>
        <w:tc>
          <w:tcPr>
            <w:tcW w:type="dxa" w:w="1891"/>
          </w:tcPr>
          <w:p>
            <w:r/>
            <w:r>
              <w:rPr>
                <w:rFonts w:ascii="Calibri" w:hAnsi="Calibri" w:eastAsia="Times New Roman" w:cs="Times New Roman"/>
                <w:sz w:val="19"/>
              </w:rPr>
              <w:t>0.998</w:t>
            </w:r>
          </w:p>
        </w:tc>
        <w:tc>
          <w:tcPr>
            <w:tcW w:type="dxa" w:w="1891"/>
          </w:tcPr>
          <w:p>
            <w:r/>
            <w:r>
              <w:rPr>
                <w:rFonts w:ascii="Calibri" w:hAnsi="Calibri" w:eastAsia="Times New Roman" w:cs="Times New Roman"/>
                <w:sz w:val="19"/>
              </w:rPr>
              <w:t>1.27e-83</w:t>
            </w:r>
          </w:p>
        </w:tc>
      </w:tr>
      <w:tr>
        <w:tc>
          <w:tcPr>
            <w:tcW w:type="dxa" w:w="1891"/>
          </w:tcPr>
          <w:p>
            <w:r/>
            <w:r>
              <w:rPr>
                <w:rFonts w:ascii="Calibri" w:hAnsi="Calibri" w:eastAsia="Times New Roman" w:cs="Times New Roman"/>
                <w:sz w:val="19"/>
              </w:rPr>
              <w:t>200</w:t>
            </w:r>
          </w:p>
        </w:tc>
        <w:tc>
          <w:tcPr>
            <w:tcW w:type="dxa" w:w="1891"/>
          </w:tcPr>
          <w:p>
            <w:r/>
            <w:r>
              <w:rPr>
                <w:rFonts w:ascii="Calibri" w:hAnsi="Calibri" w:eastAsia="Times New Roman" w:cs="Times New Roman"/>
                <w:sz w:val="19"/>
              </w:rPr>
              <w:t>0.9603</w:t>
            </w:r>
          </w:p>
        </w:tc>
        <w:tc>
          <w:tcPr>
            <w:tcW w:type="dxa" w:w="1891"/>
          </w:tcPr>
          <w:p>
            <w:r/>
            <w:r>
              <w:rPr>
                <w:rFonts w:ascii="Calibri" w:hAnsi="Calibri" w:eastAsia="Times New Roman" w:cs="Times New Roman"/>
                <w:sz w:val="19"/>
              </w:rPr>
              <w:t>−6.804</w:t>
            </w:r>
          </w:p>
        </w:tc>
        <w:tc>
          <w:tcPr>
            <w:tcW w:type="dxa" w:w="1891"/>
          </w:tcPr>
          <w:p>
            <w:r/>
            <w:r>
              <w:rPr>
                <w:rFonts w:ascii="Calibri" w:hAnsi="Calibri" w:eastAsia="Times New Roman" w:cs="Times New Roman"/>
                <w:b/>
                <w:sz w:val="19"/>
              </w:rPr>
              <w:t>+0.102</w:t>
            </w:r>
          </w:p>
        </w:tc>
        <w:tc>
          <w:tcPr>
            <w:tcW w:type="dxa" w:w="1891"/>
          </w:tcPr>
          <w:p>
            <w:r/>
            <w:r>
              <w:rPr>
                <w:rFonts w:ascii="Calibri" w:hAnsi="Calibri" w:eastAsia="Times New Roman" w:cs="Times New Roman"/>
                <w:sz w:val="19"/>
              </w:rPr>
              <w:t>+0.081</w:t>
            </w:r>
          </w:p>
        </w:tc>
        <w:tc>
          <w:tcPr>
            <w:tcW w:type="dxa" w:w="1891"/>
          </w:tcPr>
          <w:p>
            <w:r/>
            <w:r>
              <w:rPr>
                <w:rFonts w:ascii="Calibri" w:hAnsi="Calibri" w:eastAsia="Times New Roman" w:cs="Times New Roman"/>
                <w:sz w:val="19"/>
              </w:rPr>
              <w:t>0.996</w:t>
            </w:r>
          </w:p>
        </w:tc>
        <w:tc>
          <w:tcPr>
            <w:tcW w:type="dxa" w:w="1891"/>
          </w:tcPr>
          <w:p>
            <w:r/>
            <w:r>
              <w:rPr>
                <w:rFonts w:ascii="Calibri" w:hAnsi="Calibri" w:eastAsia="Times New Roman" w:cs="Times New Roman"/>
                <w:sz w:val="19"/>
              </w:rPr>
              <w:t>1.29e-83</w:t>
            </w:r>
          </w:p>
        </w:tc>
      </w:tr>
    </w:tbl>
    <w:p/>
    <w:p>
      <w:pPr>
        <w:spacing w:before="40" w:after="40"/>
        <w:ind w:left="360"/>
        <w:pBdr>
          <w:left w:val="single" w:sz="12" w:space="6" w:color="888888"/>
        </w:pBdr>
      </w:pPr>
      <w:r>
        <w:rPr>
          <w:rFonts w:ascii="Calibri" w:hAnsi="Calibri" w:eastAsia="Times New Roman" w:cs="Times New Roman"/>
          <w:i/>
          <w:color w:val="555555"/>
          <w:sz w:val="19"/>
        </w:rPr>
        <w:t xml:space="preserve">Recompute command: </w:t>
      </w:r>
      <w:r>
        <w:rPr>
          <w:rFonts w:ascii="Consolas" w:hAnsi="Consolas" w:eastAsia="Times New Roman" w:cs="Times New Roman"/>
          <w:i/>
          <w:color w:val="555555"/>
          <w:sz w:val="19"/>
        </w:rPr>
        <w:t>python results/code/o12_student_o11.py</w:t>
      </w:r>
      <w:r>
        <w:rPr>
          <w:rFonts w:ascii="Calibri" w:hAnsi="Calibri" w:eastAsia="Times New Roman" w:cs="Times New Roman"/>
          <w:i/>
          <w:color w:val="555555"/>
          <w:sz w:val="19"/>
        </w:rPr>
        <w:t xml:space="preserve"> (output: </w:t>
      </w:r>
      <w:r>
        <w:rPr>
          <w:rFonts w:ascii="Consolas" w:hAnsi="Consolas" w:eastAsia="Times New Roman" w:cs="Times New Roman"/>
          <w:i/>
          <w:color w:val="555555"/>
          <w:sz w:val="19"/>
        </w:rPr>
        <w:t>results/code/o12_student_o11.json</w:t>
      </w:r>
      <w:r>
        <w:rPr>
          <w:rFonts w:ascii="Calibri" w:hAnsi="Calibri" w:eastAsia="Times New Roman" w:cs="Times New Roman"/>
          <w:i/>
          <w:color w:val="555555"/>
          <w:sz w:val="19"/>
        </w:rPr>
        <w:t xml:space="preserve">). The script depends on numpy and must be run with an interpreter that has numpy installed (the project venv lacks numpy). Caliber note: column 2 </w:t>
      </w:r>
      <w:r>
        <w:rPr>
          <w:rFonts w:ascii="Consolas" w:hAnsi="Consolas" w:eastAsia="Times New Roman" w:cs="Times New Roman"/>
          <w:i/>
          <w:color w:val="555555"/>
          <w:sz w:val="19"/>
        </w:rPr>
        <w:t>fused6</w:t>
      </w:r>
      <w:r>
        <w:rPr>
          <w:rFonts w:ascii="Calibri" w:hAnsi="Calibri" w:eastAsia="Times New Roman" w:cs="Times New Roman"/>
          <w:i/>
          <w:color w:val="555555"/>
          <w:sz w:val="19"/>
        </w:rPr>
        <w:t xml:space="preserve"> is the holdout ρ minus baseline </w:t>
      </w:r>
      <w:r>
        <w:rPr>
          <w:rFonts w:ascii="Calibri" w:hAnsi="Calibri" w:eastAsia="Times New Roman" w:cs="Times New Roman"/>
          <w:b/>
          <w:i/>
          <w:color w:val="555555"/>
          <w:sz w:val="19"/>
        </w:rPr>
        <w:t>without</w:t>
      </w:r>
      <w:r>
        <w:rPr>
          <w:rFonts w:ascii="Calibri" w:hAnsi="Calibri" w:eastAsia="Times New Roman" w:cs="Times New Roman"/>
          <w:i/>
          <w:color w:val="555555"/>
          <w:sz w:val="19"/>
        </w:rPr>
        <w:t xml:space="preserve"> λ stacked; column 3 </w:t>
      </w:r>
      <w:r>
        <w:rPr>
          <w:rFonts w:ascii="Consolas" w:hAnsi="Consolas" w:eastAsia="Times New Roman" w:cs="Times New Roman"/>
          <w:i/>
          <w:color w:val="555555"/>
          <w:sz w:val="19"/>
        </w:rPr>
        <w:t>srw7 (λ_cf)</w:t>
      </w:r>
      <w:r>
        <w:rPr>
          <w:rFonts w:ascii="Calibri" w:hAnsi="Calibri" w:eastAsia="Times New Roman" w:cs="Times New Roman"/>
          <w:i/>
          <w:color w:val="555555"/>
          <w:sz w:val="19"/>
        </w:rPr>
        <w:t xml:space="preserve"> is the holdout ρ minus baseline </w:t>
      </w:r>
      <w:r>
        <w:rPr>
          <w:rFonts w:ascii="Calibri" w:hAnsi="Calibri" w:eastAsia="Times New Roman" w:cs="Times New Roman"/>
          <w:b/>
          <w:i/>
          <w:color w:val="555555"/>
          <w:sz w:val="19"/>
        </w:rPr>
        <w:t>with</w:t>
      </w:r>
      <w:r>
        <w:rPr>
          <w:rFonts w:ascii="Calibri" w:hAnsi="Calibri" w:eastAsia="Times New Roman" w:cs="Times New Roman"/>
          <w:i/>
          <w:color w:val="555555"/>
          <w:sz w:val="19"/>
        </w:rPr>
        <w:t xml:space="preserve"> λ_cf stacked; while </w:t>
      </w:r>
      <w:r>
        <w:rPr>
          <w:rFonts w:ascii="Consolas" w:hAnsi="Consolas" w:eastAsia="Times New Roman" w:cs="Times New Roman"/>
          <w:i/>
          <w:color w:val="555555"/>
          <w:sz w:val="19"/>
        </w:rPr>
        <w:t>srw7 − fused6</w:t>
      </w:r>
      <w:r>
        <w:rPr>
          <w:rFonts w:ascii="Calibri" w:hAnsi="Calibri" w:eastAsia="Times New Roman" w:cs="Times New Roman"/>
          <w:i/>
          <w:color w:val="555555"/>
          <w:sz w:val="19"/>
        </w:rPr>
        <w:t xml:space="preserve">, win rate, and Wilcoxon p are </w:t>
      </w:r>
      <w:r>
        <w:rPr>
          <w:rFonts w:ascii="Calibri" w:hAnsi="Calibri" w:eastAsia="Times New Roman" w:cs="Times New Roman"/>
          <w:b/>
          <w:i/>
          <w:color w:val="555555"/>
          <w:sz w:val="19"/>
        </w:rPr>
        <w:t>paired-caliber</w:t>
      </w:r>
      <w:r>
        <w:rPr>
          <w:rFonts w:ascii="Calibri" w:hAnsi="Calibri" w:eastAsia="Times New Roman" w:cs="Times New Roman"/>
          <w:i/>
          <w:color w:val="555555"/>
          <w:sz w:val="19"/>
        </w:rPr>
        <w:t xml:space="preserve">—for each half-split B, compute the holdout ρ of </w:t>
      </w:r>
      <w:r>
        <w:rPr>
          <w:rFonts w:ascii="Consolas" w:hAnsi="Consolas" w:eastAsia="Times New Roman" w:cs="Times New Roman"/>
          <w:i/>
          <w:color w:val="555555"/>
          <w:sz w:val="19"/>
        </w:rPr>
        <w:t>srw7</w:t>
      </w:r>
      <w:r>
        <w:rPr>
          <w:rFonts w:ascii="Calibri" w:hAnsi="Calibri" w:eastAsia="Times New Roman" w:cs="Times New Roman"/>
          <w:i/>
          <w:color w:val="555555"/>
          <w:sz w:val="19"/>
        </w:rPr>
        <w:t xml:space="preserve"> and </w:t>
      </w:r>
      <w:r>
        <w:rPr>
          <w:rFonts w:ascii="Consolas" w:hAnsi="Consolas" w:eastAsia="Times New Roman" w:cs="Times New Roman"/>
          <w:i/>
          <w:color w:val="555555"/>
          <w:sz w:val="19"/>
        </w:rPr>
        <w:t>fused6</w:t>
      </w:r>
      <w:r>
        <w:rPr>
          <w:rFonts w:ascii="Calibri" w:hAnsi="Calibri" w:eastAsia="Times New Roman" w:cs="Times New Roman"/>
          <w:i/>
          <w:color w:val="555555"/>
          <w:sz w:val="19"/>
        </w:rPr>
        <w:t xml:space="preserve"> respectively and take the difference, then average and signed-rank test across the 25 × 20 = 500 pairs. Therefore the </w:t>
      </w:r>
      <w:r>
        <w:rPr>
          <w:rFonts w:ascii="Consolas" w:hAnsi="Consolas" w:eastAsia="Times New Roman" w:cs="Times New Roman"/>
          <w:i/>
          <w:color w:val="555555"/>
          <w:sz w:val="19"/>
        </w:rPr>
        <w:t>srw7 − fused6</w:t>
      </w:r>
      <w:r>
        <w:rPr>
          <w:rFonts w:ascii="Calibri" w:hAnsi="Calibri" w:eastAsia="Times New Roman" w:cs="Times New Roman"/>
          <w:i/>
          <w:color w:val="555555"/>
          <w:sz w:val="19"/>
        </w:rPr>
        <w:t xml:space="preserve"> column </w:t>
      </w:r>
      <w:r>
        <w:rPr>
          <w:rFonts w:ascii="Calibri" w:hAnsi="Calibri" w:eastAsia="Times New Roman" w:cs="Times New Roman"/>
          <w:b/>
          <w:i/>
          <w:color w:val="555555"/>
          <w:sz w:val="19"/>
        </w:rPr>
        <w:t>cannot</w:t>
      </w:r>
      <w:r>
        <w:rPr>
          <w:rFonts w:ascii="Calibri" w:hAnsi="Calibri" w:eastAsia="Times New Roman" w:cs="Times New Roman"/>
          <w:i/>
          <w:color w:val="555555"/>
          <w:sz w:val="19"/>
        </w:rPr>
        <w:t xml:space="preserve"> be obtained by subtracting columns 2 and 3 (subtraction gives 1.893 pp, paired value is 0.662 pp at k = 10); this is a two-caliber difference, not a numerical contradiction.</w:t>
      </w:r>
    </w:p>
    <w:p>
      <w:pPr>
        <w:spacing w:after="120"/>
      </w:pPr>
      <w:r>
        <w:rPr>
          <w:rFonts w:ascii="Calibri" w:hAnsi="Calibri" w:eastAsia="Times New Roman" w:cs="Times New Roman"/>
          <w:b/>
          <w:sz w:val="21"/>
        </w:rPr>
        <w:t>Conclusion 1: sign correction beats direct deletion, and holds at all k.</w:t>
      </w:r>
      <w:r>
        <w:rPr>
          <w:rFonts w:ascii="Calibri" w:hAnsi="Calibri" w:eastAsia="Times New Roman" w:cs="Times New Roman"/>
          <w:sz w:val="21"/>
        </w:rPr>
        <w:t xml:space="preserve"> </w:t>
      </w:r>
      <w:r>
        <w:rPr>
          <w:rFonts w:ascii="Consolas" w:hAnsi="Consolas" w:eastAsia="Times New Roman" w:cs="Times New Roman"/>
          <w:sz w:val="21"/>
        </w:rPr>
        <w:t>signed7 &gt; fused6</w:t>
      </w:r>
      <w:r>
        <w:rPr>
          <w:rFonts w:ascii="Calibri" w:hAnsi="Calibri" w:eastAsia="Times New Roman" w:cs="Times New Roman"/>
          <w:sz w:val="21"/>
        </w:rPr>
        <w:t xml:space="preserve"> holds bracket by bracket at k = 10/25/50/100/200 (k = 10: +3.594 vs. +3.278 pp; k = 200: +0.111 vs. +0.071 pp). This shows O8's "drop the upgrade rate," though it corrected the direction, also </w:t>
      </w:r>
      <w:r>
        <w:rPr>
          <w:rFonts w:ascii="Calibri" w:hAnsi="Calibri" w:eastAsia="Times New Roman" w:cs="Times New Roman"/>
          <w:b/>
          <w:sz w:val="21"/>
        </w:rPr>
        <w:t>discarded the signal's information</w:t>
      </w:r>
      <w:r>
        <w:rPr>
          <w:rFonts w:ascii="Calibri" w:hAnsi="Calibri" w:eastAsia="Times New Roman" w:cs="Times New Roman"/>
          <w:sz w:val="21"/>
        </w:rPr>
        <w:t>—its error is in direction, not in information content; correcting the direction and counting it as negative evidence is instead superior to deleting the whole column.</w:t>
      </w:r>
    </w:p>
    <w:p>
      <w:pPr>
        <w:spacing w:after="120"/>
      </w:pPr>
      <w:r>
        <w:rPr>
          <w:rFonts w:ascii="Calibri" w:hAnsi="Calibri" w:eastAsia="Times New Roman" w:cs="Times New Roman"/>
          <w:b/>
          <w:sz w:val="21"/>
        </w:rPr>
        <w:t>Conclusion 2: reliability weighting adds further, `srw7` is optimal at all k.</w:t>
      </w:r>
      <w:r>
        <w:rPr>
          <w:rFonts w:ascii="Calibri" w:hAnsi="Calibri" w:eastAsia="Times New Roman" w:cs="Times New Roman"/>
          <w:sz w:val="21"/>
        </w:rPr>
        <w:t xml:space="preserve"> On top of sign correction, split-half-reliability weighting (weight = rank correlation between the two half estimates after splitting each signal in the fit block A, taken positive and normalised) makes </w:t>
      </w:r>
      <w:r>
        <w:rPr>
          <w:rFonts w:ascii="Consolas" w:hAnsi="Consolas" w:eastAsia="Times New Roman" w:cs="Times New Roman"/>
          <w:sz w:val="21"/>
        </w:rPr>
        <w:t>srw7</w:t>
      </w:r>
      <w:r>
        <w:rPr>
          <w:rFonts w:ascii="Calibri" w:hAnsi="Calibri" w:eastAsia="Times New Roman" w:cs="Times New Roman"/>
          <w:sz w:val="21"/>
        </w:rPr>
        <w:t xml:space="preserve"> achieve the highest gain at all k: +3.823 / +2.025 / +0.930 / +0.391 / +0.138 pp (record-level, Table 7-1). Low-reliability signals are automatically down-weighted, thereby suppressing small-sample fusion variance.</w:t>
      </w:r>
    </w:p>
    <w:p>
      <w:pPr>
        <w:spacing w:after="120"/>
      </w:pPr>
      <w:r>
        <w:rPr>
          <w:rFonts w:ascii="Calibri" w:hAnsi="Calibri" w:eastAsia="Times New Roman" w:cs="Times New Roman"/>
          <w:b/>
          <w:sz w:val="21"/>
        </w:rPr>
        <w:t>Conclusion 3: the λ strategies are nearly equivalent; the closed form is directly deployable.</w:t>
      </w:r>
      <w:r>
        <w:rPr>
          <w:rFonts w:ascii="Calibri" w:hAnsi="Calibri" w:eastAsia="Times New Roman" w:cs="Times New Roman"/>
          <w:sz w:val="21"/>
        </w:rPr>
        <w:t xml:space="preserve"> The closed-form λ_cf and the empirical optimal λ</w:t>
      </w:r>
      <w:r>
        <w:rPr>
          <w:rFonts w:ascii="Calibri" w:hAnsi="Calibri" w:eastAsia="Times New Roman" w:cs="Times New Roman"/>
          <w:i/>
          <w:sz w:val="21"/>
        </w:rPr>
        <w:t xml:space="preserve">_emp differ by ≤ 0.011 at all k (k = 10: 0.7107 vs. 0.7000); the reliability-driven λ_rel = 1 − ρ_success(A) differs from the two by at most </w:t>
      </w:r>
      <w:r>
        <w:rPr>
          <w:rFonts w:ascii="Calibri" w:hAnsi="Calibri" w:eastAsia="Times New Roman" w:cs="Times New Roman"/>
          <w:i/>
          <w:sz w:val="21"/>
        </w:rPr>
        <w:t>0.059</w:t>
      </w:r>
      <w:r>
        <w:rPr>
          <w:rFonts w:ascii="Calibri" w:hAnsi="Calibri" w:eastAsia="Times New Roman" w:cs="Times New Roman"/>
          <w:i/>
          <w:sz w:val="21"/>
        </w:rPr>
        <w:t xml:space="preserve"> (k = 50: 0.3136 vs. 0.3723). Despite this order of difference in λ values, the three's </w:t>
      </w:r>
      <w:r>
        <w:rPr>
          <w:rFonts w:ascii="Calibri" w:hAnsi="Calibri" w:eastAsia="Times New Roman" w:cs="Times New Roman"/>
          <w:i/>
          <w:sz w:val="21"/>
        </w:rPr>
        <w:t>holdout gains</w:t>
      </w:r>
      <w:r>
        <w:rPr>
          <w:rFonts w:ascii="Calibri" w:hAnsi="Calibri" w:eastAsia="Times New Roman" w:cs="Times New Roman"/>
          <w:sz w:val="21"/>
        </w:rPr>
        <w:t>* differ by ≤ 0.087 pp at all k (</w:t>
      </w:r>
      <w:r>
        <w:rPr>
          <w:rFonts w:ascii="Consolas" w:hAnsi="Consolas" w:eastAsia="Times New Roman" w:cs="Times New Roman"/>
          <w:sz w:val="21"/>
        </w:rPr>
        <w:t>srw7</w:t>
      </w:r>
      <w:r>
        <w:rPr>
          <w:rFonts w:ascii="Calibri" w:hAnsi="Calibri" w:eastAsia="Times New Roman" w:cs="Times New Roman"/>
          <w:sz w:val="21"/>
        </w:rPr>
        <w:t xml:space="preserve"> caliber, largest at k = 10), so the fusion-weight choice is insensitive to how λ is taken; substituting the closed form directly by sample size suffices, with no per-k tuning needed.</w:t>
      </w:r>
    </w:p>
    <w:p>
      <w:pPr>
        <w:spacing w:after="120"/>
      </w:pPr>
      <w:r>
        <w:rPr>
          <w:rFonts w:ascii="Calibri" w:hAnsi="Calibri" w:eastAsia="Times New Roman" w:cs="Times New Roman"/>
          <w:b/>
          <w:sz w:val="21"/>
        </w:rPr>
        <w:t>Conclusion 4: O12 student-level reuses the same optimisation; `srw7` eliminates the O8 estimator's harmfulness.</w:t>
      </w:r>
      <w:r>
        <w:rPr>
          <w:rFonts w:ascii="Calibri" w:hAnsi="Calibri" w:eastAsia="Times New Roman" w:cs="Times New Roman"/>
          <w:sz w:val="21"/>
        </w:rPr>
        <w:t xml:space="preserve"> Under student-level holdout, </w:t>
      </w:r>
      <w:r>
        <w:rPr>
          <w:rFonts w:ascii="Consolas" w:hAnsi="Consolas" w:eastAsia="Times New Roman" w:cs="Times New Roman"/>
          <w:sz w:val="21"/>
        </w:rPr>
        <w:t>fused6</w:t>
      </w:r>
      <w:r>
        <w:rPr>
          <w:rFonts w:ascii="Calibri" w:hAnsi="Calibri" w:eastAsia="Times New Roman" w:cs="Times New Roman"/>
          <w:sz w:val="21"/>
        </w:rPr>
        <w:t xml:space="preserve"> falls </w:t>
      </w:r>
      <w:r>
        <w:rPr>
          <w:rFonts w:ascii="Calibri" w:hAnsi="Calibri" w:eastAsia="Times New Roman" w:cs="Times New Roman"/>
          <w:b/>
          <w:sz w:val="21"/>
        </w:rPr>
        <w:t>below the "success-rate-only" baseline</w:t>
      </w:r>
      <w:r>
        <w:rPr>
          <w:rFonts w:ascii="Calibri" w:hAnsi="Calibri" w:eastAsia="Times New Roman" w:cs="Times New Roman"/>
          <w:sz w:val="21"/>
        </w:rPr>
        <w:t xml:space="preserve"> for k ≥ 25 (−1.402 / −3.905 / −5.728 / −6.804 pp), i.e., this simplified estimator becomes harmful as sample size grows; </w:t>
      </w:r>
      <w:r>
        <w:rPr>
          <w:rFonts w:ascii="Consolas" w:hAnsi="Consolas" w:eastAsia="Times New Roman" w:cs="Times New Roman"/>
          <w:sz w:val="21"/>
        </w:rPr>
        <w:t>srw7</w:t>
      </w:r>
      <w:r>
        <w:rPr>
          <w:rFonts w:ascii="Calibri" w:hAnsi="Calibri" w:eastAsia="Times New Roman" w:cs="Times New Roman"/>
          <w:sz w:val="21"/>
        </w:rPr>
        <w:t xml:space="preserve"> is the </w:t>
      </w:r>
      <w:r>
        <w:rPr>
          <w:rFonts w:ascii="Calibri" w:hAnsi="Calibri" w:eastAsia="Times New Roman" w:cs="Times New Roman"/>
          <w:b/>
          <w:sz w:val="21"/>
        </w:rPr>
        <w:t>only variant non-inferior to baseline at all k</w:t>
      </w:r>
      <w:r>
        <w:rPr>
          <w:rFonts w:ascii="Calibri" w:hAnsi="Calibri" w:eastAsia="Times New Roman" w:cs="Times New Roman"/>
          <w:sz w:val="21"/>
        </w:rPr>
        <w:t xml:space="preserve"> under the same protocol (+4.283 / +2.189 / +0.951 / +0.335 / +0.102 pp). </w:t>
      </w:r>
      <w:r>
        <w:rPr>
          <w:rFonts w:ascii="Consolas" w:hAnsi="Consolas" w:eastAsia="Times New Roman" w:cs="Times New Roman"/>
          <w:sz w:val="21"/>
        </w:rPr>
        <w:t>srw7</w:t>
      </w:r>
      <w:r>
        <w:rPr>
          <w:rFonts w:ascii="Calibri" w:hAnsi="Calibri" w:eastAsia="Times New Roman" w:cs="Times New Roman"/>
          <w:sz w:val="21"/>
        </w:rPr>
        <w:t xml:space="preserve">'s paired win rate against </w:t>
      </w:r>
      <w:r>
        <w:rPr>
          <w:rFonts w:ascii="Consolas" w:hAnsi="Consolas" w:eastAsia="Times New Roman" w:cs="Times New Roman"/>
          <w:sz w:val="21"/>
        </w:rPr>
        <w:t>fused6</w:t>
      </w:r>
      <w:r>
        <w:rPr>
          <w:rFonts w:ascii="Calibri" w:hAnsi="Calibri" w:eastAsia="Times New Roman" w:cs="Times New Roman"/>
          <w:sz w:val="21"/>
        </w:rPr>
        <w:t xml:space="preserve"> is 0.902 / 1.000 / 1.000 / 0.998 / 0.996, with Wilcoxon signed-rank test p ≤ 1.29 × 10⁻⁶⁶.</w:t>
      </w:r>
    </w:p>
    <w:p>
      <w:pPr>
        <w:spacing w:after="120"/>
      </w:pPr>
      <w:r>
        <w:rPr>
          <w:rFonts w:ascii="Calibri" w:hAnsi="Calibri" w:eastAsia="Times New Roman" w:cs="Times New Roman"/>
          <w:b/>
          <w:sz w:val="21"/>
        </w:rPr>
        <w:t>Limitations that must be listed separately.</w:t>
      </w:r>
      <w:r>
        <w:rPr>
          <w:rFonts w:ascii="Calibri" w:hAnsi="Calibri" w:eastAsia="Times New Roman" w:cs="Times New Roman"/>
          <w:sz w:val="21"/>
        </w:rPr>
        <w:t xml:space="preserve"> First, O11/O12 run </w:t>
      </w:r>
      <w:r>
        <w:rPr>
          <w:rFonts w:ascii="Calibri" w:hAnsi="Calibri" w:eastAsia="Times New Roman" w:cs="Times New Roman"/>
          <w:b/>
          <w:sz w:val="21"/>
        </w:rPr>
        <w:t>only on Junyi</w:t>
      </w:r>
      <w:r>
        <w:rPr>
          <w:rFonts w:ascii="Calibri" w:hAnsi="Calibri" w:eastAsia="Times New Roman" w:cs="Times New Roman"/>
          <w:sz w:val="21"/>
        </w:rPr>
        <w:t xml:space="preserve">, not cross-system reproduced (no corresponding validation on DBE); second, at k = 200 the gain is already small (record-level +0.138 pp, student-level +0.102 pp), and no significant gain should be expected for a mature question bank; third, the criterion block's own reliability ceiling (O7 block B fixed 250, O12 criterion half fixed response count) limits the absolute level of ρ, so in Tables 7-1 and 7-2 only </w:t>
      </w:r>
      <w:r>
        <w:rPr>
          <w:rFonts w:ascii="Calibri" w:hAnsi="Calibri" w:eastAsia="Times New Roman" w:cs="Times New Roman"/>
          <w:b/>
          <w:sz w:val="21"/>
        </w:rPr>
        <w:t>within-k between-group comparisons</w:t>
      </w:r>
      <w:r>
        <w:rPr>
          <w:rFonts w:ascii="Calibri" w:hAnsi="Calibri" w:eastAsia="Times New Roman" w:cs="Times New Roman"/>
          <w:sz w:val="21"/>
        </w:rPr>
        <w:t xml:space="preserve"> are valid, and the absolute ρ values </w:t>
      </w:r>
      <w:r>
        <w:rPr>
          <w:rFonts w:ascii="Calibri" w:hAnsi="Calibri" w:eastAsia="Times New Roman" w:cs="Times New Roman"/>
          <w:b/>
          <w:sz w:val="21"/>
        </w:rPr>
        <w:t>cannot be read as "near perfect."</w:t>
      </w:r>
    </w:p>
    <w:p>
      <w:pPr>
        <w:spacing w:after="120"/>
      </w:pPr>
      <w:r>
        <w:rPr>
          <w:rFonts w:ascii="Calibri" w:hAnsi="Calibri" w:eastAsia="Times New Roman" w:cs="Times New Roman"/>
          <w:sz w:val="21"/>
        </w:rPr>
        <w:t xml:space="preserve">The </w:t>
      </w:r>
      <w:r>
        <w:rPr>
          <w:rFonts w:ascii="Consolas" w:hAnsi="Consolas" w:eastAsia="Times New Roman" w:cs="Times New Roman"/>
          <w:sz w:val="21"/>
        </w:rPr>
        <w:t>srw7</w:t>
      </w:r>
      <w:r>
        <w:rPr>
          <w:rFonts w:ascii="Calibri" w:hAnsi="Calibri" w:eastAsia="Times New Roman" w:cs="Times New Roman"/>
          <w:sz w:val="21"/>
        </w:rPr>
        <w:t xml:space="preserve"> estimator above has been landed to the studied system's difficulty-metric layer as an incremental function; the landing method, cost, and verification are in §9.2.</w:t>
      </w:r>
    </w:p>
    <w:p>
      <w:pPr>
        <w:pStyle w:val="Heading1"/>
        <w:spacing w:before="200" w:after="80"/>
      </w:pPr>
      <w:r>
        <w:rPr>
          <w:rFonts w:ascii="Calibri" w:hAnsi="Calibri" w:eastAsia="Times New Roman" w:cs="Times New Roman"/>
          <w:sz w:val="32"/>
        </w:rPr>
        <w:t>8 Optimal Error Rate: Descriptive Evidence and the Unfinished Causal Identification</w:t>
      </w:r>
    </w:p>
    <w:p>
      <w:pPr>
        <w:pStyle w:val="Heading2"/>
        <w:spacing w:before="120" w:after="80"/>
      </w:pPr>
      <w:r>
        <w:rPr>
          <w:rFonts w:ascii="Calibri" w:hAnsi="Calibri" w:eastAsia="Times New Roman" w:cs="Times New Roman"/>
          <w:sz w:val="27"/>
        </w:rPr>
        <w:t>8.1 The sliding-window error-rate distribution on assist09</w:t>
      </w:r>
    </w:p>
    <w:p>
      <w:pPr>
        <w:spacing w:after="120"/>
      </w:pPr>
      <w:r>
        <w:rPr>
          <w:rFonts w:ascii="Calibri" w:hAnsi="Calibri" w:eastAsia="Times New Roman" w:cs="Times New Roman"/>
          <w:sz w:val="21"/>
        </w:rPr>
        <w:t>On assist09 (sorted by student, by order_id, taking those with ≥20 items), a sliding window of width W = 20 computes each window's error rate.</w:t>
      </w:r>
    </w:p>
    <w:p>
      <w:pPr>
        <w:spacing w:after="120"/>
      </w:pPr>
      <w:r>
        <w:rPr>
          <w:rFonts w:ascii="Calibri" w:hAnsi="Calibri" w:eastAsia="Times New Roman" w:cs="Times New Roman"/>
          <w:b/>
          <w:sz w:val="21"/>
        </w:rPr>
        <w:t>First, the correct representation of the distribution.</w:t>
      </w:r>
      <w:r>
        <w:rPr>
          <w:rFonts w:ascii="Calibri" w:hAnsi="Calibri" w:eastAsia="Times New Roman" w:cs="Times New Roman"/>
          <w:sz w:val="21"/>
        </w:rPr>
        <w:t xml:space="preserve"> Window width W = 20 makes the error rate take only the </w:t>
      </w:r>
      <w:r>
        <w:rPr>
          <w:rFonts w:ascii="Calibri" w:hAnsi="Calibri" w:eastAsia="Times New Roman" w:cs="Times New Roman"/>
          <w:b/>
          <w:sz w:val="21"/>
        </w:rPr>
        <w:t>21 discrete support points</w:t>
      </w:r>
      <w:r>
        <w:rPr>
          <w:rFonts w:ascii="Calibri" w:hAnsi="Calibri" w:eastAsia="Times New Roman" w:cs="Times New Roman"/>
          <w:sz w:val="21"/>
        </w:rPr>
        <w:t xml:space="preserve"> k/W (k = number of errors in window) (interval 0.05). An earlier version of this paper summarised with an equal-width histogram </w:t>
      </w:r>
      <w:r>
        <w:rPr>
          <w:rFonts w:ascii="Consolas" w:hAnsi="Consolas" w:eastAsia="Times New Roman" w:cs="Times New Roman"/>
          <w:sz w:val="21"/>
        </w:rPr>
        <w:t>np.histogram(win_err, bins=np.arange(0, 1.0001, 0.05))</w:t>
      </w:r>
      <w:r>
        <w:rPr>
          <w:rFonts w:ascii="Calibri" w:hAnsi="Calibri" w:eastAsia="Times New Roman" w:cs="Times New Roman"/>
          <w:sz w:val="21"/>
        </w:rPr>
        <w:t xml:space="preserve">, whose interval edges coincide exactly with these 21 support points; floating-point error (e.g., at k = 4, 1 − 16/20 = 0.19999999999999996) merges 0.15 and 0.20 into the same interval and pushes 0.10 into the next interval. The consequence was that the "mode interval" equalled </w:t>
      </w:r>
      <w:r>
        <w:rPr>
          <w:rFonts w:ascii="Calibri" w:hAnsi="Calibri" w:eastAsia="Times New Roman" w:cs="Times New Roman"/>
          <w:b/>
          <w:sz w:val="21"/>
        </w:rPr>
        <w:t>the sum of two discrete values</w:t>
      </w:r>
      <w:r>
        <w:rPr>
          <w:rFonts w:ascii="Calibri" w:hAnsi="Calibri" w:eastAsia="Times New Roman" w:cs="Times New Roman"/>
          <w:sz w:val="21"/>
        </w:rPr>
        <w:t xml:space="preserve">, while the single-value frequency was never reported—and the resulting "mode interval 0.15–0.20 (success 80–85%)" is a </w:t>
      </w:r>
      <w:r>
        <w:rPr>
          <w:rFonts w:ascii="Calibri" w:hAnsi="Calibri" w:eastAsia="Times New Roman" w:cs="Times New Roman"/>
          <w:b/>
          <w:sz w:val="21"/>
        </w:rPr>
        <w:t>binning-boundary artifact, not a distribution fact</w:t>
      </w:r>
      <w:r>
        <w:rPr>
          <w:rFonts w:ascii="Calibri" w:hAnsi="Calibri" w:eastAsia="Times New Roman" w:cs="Times New Roman"/>
          <w:sz w:val="21"/>
        </w:rPr>
        <w:t>. This section instead counts directly by integer error count k (integer arithmetic, no floating point), so the support points k/W are exact.</w:t>
      </w:r>
    </w:p>
    <w:p>
      <w:pPr>
        <w:spacing w:after="120"/>
      </w:pPr>
      <w:r>
        <w:rPr>
          <w:rFonts w:ascii="Calibri" w:hAnsi="Calibri" w:eastAsia="Times New Roman" w:cs="Times New Roman"/>
          <w:b/>
          <w:sz w:val="21"/>
        </w:rPr>
        <w:t>Table 8-1. assist09 sliding-window error-rate 21 discrete support-point frequencies</w:t>
      </w:r>
      <w:r>
        <w:rPr>
          <w:rFonts w:ascii="Calibri" w:hAnsi="Calibri" w:eastAsia="Times New Roman" w:cs="Times New Roman"/>
          <w:sz w:val="21"/>
        </w:rPr>
        <w:t xml:space="preserve"> (n = 286,150 windows; students actually contributing sliding windows = 2,314; students appearing in the input = 4,217)</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Times New Roman" w:cs="Times New Roman"/>
                <w:b/>
                <w:sz w:val="19"/>
              </w:rPr>
              <w:t>k (error count)</w:t>
            </w:r>
          </w:p>
        </w:tc>
        <w:tc>
          <w:tcPr>
            <w:tcW w:type="dxa" w:w="2648"/>
            <w:shd w:val="clear" w:color="auto" w:fill="DDDDDD"/>
          </w:tcPr>
          <w:p>
            <w:r>
              <w:rPr>
                <w:b/>
              </w:rPr>
            </w:r>
            <w:r>
              <w:rPr>
                <w:rFonts w:ascii="Calibri" w:hAnsi="Calibri" w:eastAsia="Times New Roman" w:cs="Times New Roman"/>
                <w:b/>
                <w:sz w:val="19"/>
              </w:rPr>
              <w:t>error rate</w:t>
            </w:r>
          </w:p>
        </w:tc>
        <w:tc>
          <w:tcPr>
            <w:tcW w:type="dxa" w:w="2648"/>
            <w:shd w:val="clear" w:color="auto" w:fill="DDDDDD"/>
          </w:tcPr>
          <w:p>
            <w:r>
              <w:rPr>
                <w:b/>
              </w:rPr>
            </w:r>
            <w:r>
              <w:rPr>
                <w:rFonts w:ascii="Calibri" w:hAnsi="Calibri" w:eastAsia="Times New Roman" w:cs="Times New Roman"/>
                <w:b/>
                <w:sz w:val="19"/>
              </w:rPr>
              <w:t>success rate</w:t>
            </w:r>
          </w:p>
        </w:tc>
        <w:tc>
          <w:tcPr>
            <w:tcW w:type="dxa" w:w="2648"/>
            <w:shd w:val="clear" w:color="auto" w:fill="DDDDDD"/>
          </w:tcPr>
          <w:p>
            <w:r>
              <w:rPr>
                <w:b/>
              </w:rPr>
            </w:r>
            <w:r>
              <w:rPr>
                <w:rFonts w:ascii="Calibri" w:hAnsi="Calibri" w:eastAsia="Times New Roman" w:cs="Times New Roman"/>
                <w:b/>
                <w:sz w:val="19"/>
              </w:rPr>
              <w:t>windows</w:t>
            </w:r>
          </w:p>
        </w:tc>
        <w:tc>
          <w:tcPr>
            <w:tcW w:type="dxa" w:w="2648"/>
            <w:shd w:val="clear" w:color="auto" w:fill="DDDDDD"/>
          </w:tcPr>
          <w:p>
            <w:r>
              <w:rPr>
                <w:b/>
              </w:rPr>
            </w:r>
            <w:r>
              <w:rPr>
                <w:rFonts w:ascii="Calibri" w:hAnsi="Calibri" w:eastAsia="Times New Roman" w:cs="Times New Roman"/>
                <w:b/>
                <w:sz w:val="19"/>
              </w:rPr>
              <w:t>share</w:t>
            </w:r>
          </w:p>
        </w:tc>
      </w:tr>
      <w:tr>
        <w:tc>
          <w:tcPr>
            <w:tcW w:type="dxa" w:w="2648"/>
          </w:tcPr>
          <w:p>
            <w:r/>
            <w:r>
              <w:rPr>
                <w:rFonts w:ascii="Calibri" w:hAnsi="Calibri" w:eastAsia="Times New Roman" w:cs="Times New Roman"/>
                <w:sz w:val="19"/>
              </w:rPr>
              <w:t>0</w:t>
            </w:r>
          </w:p>
        </w:tc>
        <w:tc>
          <w:tcPr>
            <w:tcW w:type="dxa" w:w="2648"/>
          </w:tcPr>
          <w:p>
            <w:r/>
            <w:r>
              <w:rPr>
                <w:rFonts w:ascii="Calibri" w:hAnsi="Calibri" w:eastAsia="Times New Roman" w:cs="Times New Roman"/>
                <w:sz w:val="19"/>
              </w:rPr>
              <w:t>0.00</w:t>
            </w:r>
          </w:p>
        </w:tc>
        <w:tc>
          <w:tcPr>
            <w:tcW w:type="dxa" w:w="2648"/>
          </w:tcPr>
          <w:p>
            <w:r/>
            <w:r>
              <w:rPr>
                <w:rFonts w:ascii="Calibri" w:hAnsi="Calibri" w:eastAsia="Times New Roman" w:cs="Times New Roman"/>
                <w:sz w:val="19"/>
              </w:rPr>
              <w:t>1.00</w:t>
            </w:r>
          </w:p>
        </w:tc>
        <w:tc>
          <w:tcPr>
            <w:tcW w:type="dxa" w:w="2648"/>
          </w:tcPr>
          <w:p>
            <w:r/>
            <w:r>
              <w:rPr>
                <w:rFonts w:ascii="Calibri" w:hAnsi="Calibri" w:eastAsia="Times New Roman" w:cs="Times New Roman"/>
                <w:sz w:val="19"/>
              </w:rPr>
              <w:t>3,794</w:t>
            </w:r>
          </w:p>
        </w:tc>
        <w:tc>
          <w:tcPr>
            <w:tcW w:type="dxa" w:w="2648"/>
          </w:tcPr>
          <w:p>
            <w:r/>
            <w:r>
              <w:rPr>
                <w:rFonts w:ascii="Calibri" w:hAnsi="Calibri" w:eastAsia="Times New Roman" w:cs="Times New Roman"/>
                <w:sz w:val="19"/>
              </w:rPr>
              <w:t>1.33%</w:t>
            </w:r>
          </w:p>
        </w:tc>
      </w:tr>
      <w:tr>
        <w:tc>
          <w:tcPr>
            <w:tcW w:type="dxa" w:w="2648"/>
          </w:tcPr>
          <w:p>
            <w:r/>
            <w:r>
              <w:rPr>
                <w:rFonts w:ascii="Calibri" w:hAnsi="Calibri" w:eastAsia="Times New Roman" w:cs="Times New Roman"/>
                <w:sz w:val="19"/>
              </w:rPr>
              <w:t>1</w:t>
            </w:r>
          </w:p>
        </w:tc>
        <w:tc>
          <w:tcPr>
            <w:tcW w:type="dxa" w:w="2648"/>
          </w:tcPr>
          <w:p>
            <w:r/>
            <w:r>
              <w:rPr>
                <w:rFonts w:ascii="Calibri" w:hAnsi="Calibri" w:eastAsia="Times New Roman" w:cs="Times New Roman"/>
                <w:sz w:val="19"/>
              </w:rPr>
              <w:t>0.05</w:t>
            </w:r>
          </w:p>
        </w:tc>
        <w:tc>
          <w:tcPr>
            <w:tcW w:type="dxa" w:w="2648"/>
          </w:tcPr>
          <w:p>
            <w:r/>
            <w:r>
              <w:rPr>
                <w:rFonts w:ascii="Calibri" w:hAnsi="Calibri" w:eastAsia="Times New Roman" w:cs="Times New Roman"/>
                <w:sz w:val="19"/>
              </w:rPr>
              <w:t>0.95</w:t>
            </w:r>
          </w:p>
        </w:tc>
        <w:tc>
          <w:tcPr>
            <w:tcW w:type="dxa" w:w="2648"/>
          </w:tcPr>
          <w:p>
            <w:r/>
            <w:r>
              <w:rPr>
                <w:rFonts w:ascii="Calibri" w:hAnsi="Calibri" w:eastAsia="Times New Roman" w:cs="Times New Roman"/>
                <w:sz w:val="19"/>
              </w:rPr>
              <w:t>10,982</w:t>
            </w:r>
          </w:p>
        </w:tc>
        <w:tc>
          <w:tcPr>
            <w:tcW w:type="dxa" w:w="2648"/>
          </w:tcPr>
          <w:p>
            <w:r/>
            <w:r>
              <w:rPr>
                <w:rFonts w:ascii="Calibri" w:hAnsi="Calibri" w:eastAsia="Times New Roman" w:cs="Times New Roman"/>
                <w:sz w:val="19"/>
              </w:rPr>
              <w:t>3.84%</w:t>
            </w:r>
          </w:p>
        </w:tc>
      </w:tr>
      <w:tr>
        <w:tc>
          <w:tcPr>
            <w:tcW w:type="dxa" w:w="2648"/>
          </w:tcPr>
          <w:p>
            <w:r/>
            <w:r>
              <w:rPr>
                <w:rFonts w:ascii="Calibri" w:hAnsi="Calibri" w:eastAsia="Times New Roman" w:cs="Times New Roman"/>
                <w:sz w:val="19"/>
              </w:rPr>
              <w:t>2</w:t>
            </w:r>
          </w:p>
        </w:tc>
        <w:tc>
          <w:tcPr>
            <w:tcW w:type="dxa" w:w="2648"/>
          </w:tcPr>
          <w:p>
            <w:r/>
            <w:r>
              <w:rPr>
                <w:rFonts w:ascii="Calibri" w:hAnsi="Calibri" w:eastAsia="Times New Roman" w:cs="Times New Roman"/>
                <w:sz w:val="19"/>
              </w:rPr>
              <w:t>0.10</w:t>
            </w:r>
          </w:p>
        </w:tc>
        <w:tc>
          <w:tcPr>
            <w:tcW w:type="dxa" w:w="2648"/>
          </w:tcPr>
          <w:p>
            <w:r/>
            <w:r>
              <w:rPr>
                <w:rFonts w:ascii="Calibri" w:hAnsi="Calibri" w:eastAsia="Times New Roman" w:cs="Times New Roman"/>
                <w:sz w:val="19"/>
              </w:rPr>
              <w:t>0.90</w:t>
            </w:r>
          </w:p>
        </w:tc>
        <w:tc>
          <w:tcPr>
            <w:tcW w:type="dxa" w:w="2648"/>
          </w:tcPr>
          <w:p>
            <w:r/>
            <w:r>
              <w:rPr>
                <w:rFonts w:ascii="Calibri" w:hAnsi="Calibri" w:eastAsia="Times New Roman" w:cs="Times New Roman"/>
                <w:sz w:val="19"/>
              </w:rPr>
              <w:t>19,345</w:t>
            </w:r>
          </w:p>
        </w:tc>
        <w:tc>
          <w:tcPr>
            <w:tcW w:type="dxa" w:w="2648"/>
          </w:tcPr>
          <w:p>
            <w:r/>
            <w:r>
              <w:rPr>
                <w:rFonts w:ascii="Calibri" w:hAnsi="Calibri" w:eastAsia="Times New Roman" w:cs="Times New Roman"/>
                <w:sz w:val="19"/>
              </w:rPr>
              <w:t>6.76%</w:t>
            </w:r>
          </w:p>
        </w:tc>
      </w:tr>
      <w:tr>
        <w:tc>
          <w:tcPr>
            <w:tcW w:type="dxa" w:w="2648"/>
          </w:tcPr>
          <w:p>
            <w:r/>
            <w:r>
              <w:rPr>
                <w:rFonts w:ascii="Calibri" w:hAnsi="Calibri" w:eastAsia="Times New Roman" w:cs="Times New Roman"/>
                <w:sz w:val="19"/>
              </w:rPr>
              <w:t>3</w:t>
            </w:r>
          </w:p>
        </w:tc>
        <w:tc>
          <w:tcPr>
            <w:tcW w:type="dxa" w:w="2648"/>
          </w:tcPr>
          <w:p>
            <w:r/>
            <w:r>
              <w:rPr>
                <w:rFonts w:ascii="Calibri" w:hAnsi="Calibri" w:eastAsia="Times New Roman" w:cs="Times New Roman"/>
                <w:sz w:val="19"/>
              </w:rPr>
              <w:t>0.15</w:t>
            </w:r>
          </w:p>
        </w:tc>
        <w:tc>
          <w:tcPr>
            <w:tcW w:type="dxa" w:w="2648"/>
          </w:tcPr>
          <w:p>
            <w:r/>
            <w:r>
              <w:rPr>
                <w:rFonts w:ascii="Calibri" w:hAnsi="Calibri" w:eastAsia="Times New Roman" w:cs="Times New Roman"/>
                <w:sz w:val="19"/>
              </w:rPr>
              <w:t>0.85</w:t>
            </w:r>
          </w:p>
        </w:tc>
        <w:tc>
          <w:tcPr>
            <w:tcW w:type="dxa" w:w="2648"/>
          </w:tcPr>
          <w:p>
            <w:r/>
            <w:r>
              <w:rPr>
                <w:rFonts w:ascii="Calibri" w:hAnsi="Calibri" w:eastAsia="Times New Roman" w:cs="Times New Roman"/>
                <w:sz w:val="19"/>
              </w:rPr>
              <w:t>26,151</w:t>
            </w:r>
          </w:p>
        </w:tc>
        <w:tc>
          <w:tcPr>
            <w:tcW w:type="dxa" w:w="2648"/>
          </w:tcPr>
          <w:p>
            <w:r/>
            <w:r>
              <w:rPr>
                <w:rFonts w:ascii="Calibri" w:hAnsi="Calibri" w:eastAsia="Times New Roman" w:cs="Times New Roman"/>
                <w:sz w:val="19"/>
              </w:rPr>
              <w:t>9.14%</w:t>
            </w:r>
          </w:p>
        </w:tc>
      </w:tr>
      <w:tr>
        <w:tc>
          <w:tcPr>
            <w:tcW w:type="dxa" w:w="2648"/>
          </w:tcPr>
          <w:p>
            <w:r/>
            <w:r>
              <w:rPr>
                <w:rFonts w:ascii="Calibri" w:hAnsi="Calibri" w:eastAsia="Times New Roman" w:cs="Times New Roman"/>
                <w:sz w:val="19"/>
              </w:rPr>
              <w:t>4</w:t>
            </w:r>
          </w:p>
        </w:tc>
        <w:tc>
          <w:tcPr>
            <w:tcW w:type="dxa" w:w="2648"/>
          </w:tcPr>
          <w:p>
            <w:r/>
            <w:r>
              <w:rPr>
                <w:rFonts w:ascii="Calibri" w:hAnsi="Calibri" w:eastAsia="Times New Roman" w:cs="Times New Roman"/>
                <w:sz w:val="19"/>
              </w:rPr>
              <w:t>0.20</w:t>
            </w:r>
          </w:p>
        </w:tc>
        <w:tc>
          <w:tcPr>
            <w:tcW w:type="dxa" w:w="2648"/>
          </w:tcPr>
          <w:p>
            <w:r/>
            <w:r>
              <w:rPr>
                <w:rFonts w:ascii="Calibri" w:hAnsi="Calibri" w:eastAsia="Times New Roman" w:cs="Times New Roman"/>
                <w:sz w:val="19"/>
              </w:rPr>
              <w:t>0.80</w:t>
            </w:r>
          </w:p>
        </w:tc>
        <w:tc>
          <w:tcPr>
            <w:tcW w:type="dxa" w:w="2648"/>
          </w:tcPr>
          <w:p>
            <w:r/>
            <w:r>
              <w:rPr>
                <w:rFonts w:ascii="Calibri" w:hAnsi="Calibri" w:eastAsia="Times New Roman" w:cs="Times New Roman"/>
                <w:sz w:val="19"/>
              </w:rPr>
              <w:t>30,061</w:t>
            </w:r>
          </w:p>
        </w:tc>
        <w:tc>
          <w:tcPr>
            <w:tcW w:type="dxa" w:w="2648"/>
          </w:tcPr>
          <w:p>
            <w:r/>
            <w:r>
              <w:rPr>
                <w:rFonts w:ascii="Calibri" w:hAnsi="Calibri" w:eastAsia="Times New Roman" w:cs="Times New Roman"/>
                <w:sz w:val="19"/>
              </w:rPr>
              <w:t>10.51%</w:t>
            </w:r>
          </w:p>
        </w:tc>
      </w:tr>
      <w:tr>
        <w:tc>
          <w:tcPr>
            <w:tcW w:type="dxa" w:w="2648"/>
          </w:tcPr>
          <w:p>
            <w:r/>
            <w:r>
              <w:rPr>
                <w:rFonts w:ascii="Calibri" w:hAnsi="Calibri" w:eastAsia="Times New Roman" w:cs="Times New Roman"/>
                <w:sz w:val="19"/>
              </w:rPr>
              <w:t>5</w:t>
            </w:r>
          </w:p>
        </w:tc>
        <w:tc>
          <w:tcPr>
            <w:tcW w:type="dxa" w:w="2648"/>
          </w:tcPr>
          <w:p>
            <w:r/>
            <w:r>
              <w:rPr>
                <w:rFonts w:ascii="Calibri" w:hAnsi="Calibri" w:eastAsia="Times New Roman" w:cs="Times New Roman"/>
                <w:sz w:val="19"/>
              </w:rPr>
              <w:t>0.25</w:t>
            </w:r>
          </w:p>
        </w:tc>
        <w:tc>
          <w:tcPr>
            <w:tcW w:type="dxa" w:w="2648"/>
          </w:tcPr>
          <w:p>
            <w:r/>
            <w:r>
              <w:rPr>
                <w:rFonts w:ascii="Calibri" w:hAnsi="Calibri" w:eastAsia="Times New Roman" w:cs="Times New Roman"/>
                <w:sz w:val="19"/>
              </w:rPr>
              <w:t>0.75</w:t>
            </w:r>
          </w:p>
        </w:tc>
        <w:tc>
          <w:tcPr>
            <w:tcW w:type="dxa" w:w="2648"/>
          </w:tcPr>
          <w:p>
            <w:r/>
            <w:r>
              <w:rPr>
                <w:rFonts w:ascii="Calibri" w:hAnsi="Calibri" w:eastAsia="Times New Roman" w:cs="Times New Roman"/>
                <w:sz w:val="19"/>
              </w:rPr>
              <w:t>30,899</w:t>
            </w:r>
          </w:p>
        </w:tc>
        <w:tc>
          <w:tcPr>
            <w:tcW w:type="dxa" w:w="2648"/>
          </w:tcPr>
          <w:p>
            <w:r/>
            <w:r>
              <w:rPr>
                <w:rFonts w:ascii="Calibri" w:hAnsi="Calibri" w:eastAsia="Times New Roman" w:cs="Times New Roman"/>
                <w:sz w:val="19"/>
              </w:rPr>
              <w:t>10.80% ← global mode</w:t>
            </w:r>
          </w:p>
        </w:tc>
      </w:tr>
      <w:tr>
        <w:tc>
          <w:tcPr>
            <w:tcW w:type="dxa" w:w="2648"/>
          </w:tcPr>
          <w:p>
            <w:r/>
            <w:r>
              <w:rPr>
                <w:rFonts w:ascii="Calibri" w:hAnsi="Calibri" w:eastAsia="Times New Roman" w:cs="Times New Roman"/>
                <w:sz w:val="19"/>
              </w:rPr>
              <w:t>6</w:t>
            </w:r>
          </w:p>
        </w:tc>
        <w:tc>
          <w:tcPr>
            <w:tcW w:type="dxa" w:w="2648"/>
          </w:tcPr>
          <w:p>
            <w:r/>
            <w:r>
              <w:rPr>
                <w:rFonts w:ascii="Calibri" w:hAnsi="Calibri" w:eastAsia="Times New Roman" w:cs="Times New Roman"/>
                <w:sz w:val="19"/>
              </w:rPr>
              <w:t>0.30</w:t>
            </w:r>
          </w:p>
        </w:tc>
        <w:tc>
          <w:tcPr>
            <w:tcW w:type="dxa" w:w="2648"/>
          </w:tcPr>
          <w:p>
            <w:r/>
            <w:r>
              <w:rPr>
                <w:rFonts w:ascii="Calibri" w:hAnsi="Calibri" w:eastAsia="Times New Roman" w:cs="Times New Roman"/>
                <w:sz w:val="19"/>
              </w:rPr>
              <w:t>0.70</w:t>
            </w:r>
          </w:p>
        </w:tc>
        <w:tc>
          <w:tcPr>
            <w:tcW w:type="dxa" w:w="2648"/>
          </w:tcPr>
          <w:p>
            <w:r/>
            <w:r>
              <w:rPr>
                <w:rFonts w:ascii="Calibri" w:hAnsi="Calibri" w:eastAsia="Times New Roman" w:cs="Times New Roman"/>
                <w:sz w:val="19"/>
              </w:rPr>
              <w:t>28,518</w:t>
            </w:r>
          </w:p>
        </w:tc>
        <w:tc>
          <w:tcPr>
            <w:tcW w:type="dxa" w:w="2648"/>
          </w:tcPr>
          <w:p>
            <w:r/>
            <w:r>
              <w:rPr>
                <w:rFonts w:ascii="Calibri" w:hAnsi="Calibri" w:eastAsia="Times New Roman" w:cs="Times New Roman"/>
                <w:sz w:val="19"/>
              </w:rPr>
              <w:t>9.97%</w:t>
            </w:r>
          </w:p>
        </w:tc>
      </w:tr>
      <w:tr>
        <w:tc>
          <w:tcPr>
            <w:tcW w:type="dxa" w:w="2648"/>
          </w:tcPr>
          <w:p>
            <w:r/>
            <w:r>
              <w:rPr>
                <w:rFonts w:ascii="Calibri" w:hAnsi="Calibri" w:eastAsia="Times New Roman" w:cs="Times New Roman"/>
                <w:sz w:val="19"/>
              </w:rPr>
              <w:t>7</w:t>
            </w:r>
          </w:p>
        </w:tc>
        <w:tc>
          <w:tcPr>
            <w:tcW w:type="dxa" w:w="2648"/>
          </w:tcPr>
          <w:p>
            <w:r/>
            <w:r>
              <w:rPr>
                <w:rFonts w:ascii="Calibri" w:hAnsi="Calibri" w:eastAsia="Times New Roman" w:cs="Times New Roman"/>
                <w:sz w:val="19"/>
              </w:rPr>
              <w:t>0.35</w:t>
            </w:r>
          </w:p>
        </w:tc>
        <w:tc>
          <w:tcPr>
            <w:tcW w:type="dxa" w:w="2648"/>
          </w:tcPr>
          <w:p>
            <w:r/>
            <w:r>
              <w:rPr>
                <w:rFonts w:ascii="Calibri" w:hAnsi="Calibri" w:eastAsia="Times New Roman" w:cs="Times New Roman"/>
                <w:sz w:val="19"/>
              </w:rPr>
              <w:t>0.65</w:t>
            </w:r>
          </w:p>
        </w:tc>
        <w:tc>
          <w:tcPr>
            <w:tcW w:type="dxa" w:w="2648"/>
          </w:tcPr>
          <w:p>
            <w:r/>
            <w:r>
              <w:rPr>
                <w:rFonts w:ascii="Calibri" w:hAnsi="Calibri" w:eastAsia="Times New Roman" w:cs="Times New Roman"/>
                <w:sz w:val="19"/>
              </w:rPr>
              <w:t>25,435</w:t>
            </w:r>
          </w:p>
        </w:tc>
        <w:tc>
          <w:tcPr>
            <w:tcW w:type="dxa" w:w="2648"/>
          </w:tcPr>
          <w:p>
            <w:r/>
            <w:r>
              <w:rPr>
                <w:rFonts w:ascii="Calibri" w:hAnsi="Calibri" w:eastAsia="Times New Roman" w:cs="Times New Roman"/>
                <w:sz w:val="19"/>
              </w:rPr>
              <w:t>8.89%</w:t>
            </w:r>
          </w:p>
        </w:tc>
      </w:tr>
      <w:tr>
        <w:tc>
          <w:tcPr>
            <w:tcW w:type="dxa" w:w="2648"/>
          </w:tcPr>
          <w:p>
            <w:r/>
            <w:r>
              <w:rPr>
                <w:rFonts w:ascii="Calibri" w:hAnsi="Calibri" w:eastAsia="Times New Roman" w:cs="Times New Roman"/>
                <w:sz w:val="19"/>
              </w:rPr>
              <w:t>8</w:t>
            </w:r>
          </w:p>
        </w:tc>
        <w:tc>
          <w:tcPr>
            <w:tcW w:type="dxa" w:w="2648"/>
          </w:tcPr>
          <w:p>
            <w:r/>
            <w:r>
              <w:rPr>
                <w:rFonts w:ascii="Calibri" w:hAnsi="Calibri" w:eastAsia="Times New Roman" w:cs="Times New Roman"/>
                <w:sz w:val="19"/>
              </w:rPr>
              <w:t>0.40</w:t>
            </w:r>
          </w:p>
        </w:tc>
        <w:tc>
          <w:tcPr>
            <w:tcW w:type="dxa" w:w="2648"/>
          </w:tcPr>
          <w:p>
            <w:r/>
            <w:r>
              <w:rPr>
                <w:rFonts w:ascii="Calibri" w:hAnsi="Calibri" w:eastAsia="Times New Roman" w:cs="Times New Roman"/>
                <w:sz w:val="19"/>
              </w:rPr>
              <w:t>0.60</w:t>
            </w:r>
          </w:p>
        </w:tc>
        <w:tc>
          <w:tcPr>
            <w:tcW w:type="dxa" w:w="2648"/>
          </w:tcPr>
          <w:p>
            <w:r/>
            <w:r>
              <w:rPr>
                <w:rFonts w:ascii="Calibri" w:hAnsi="Calibri" w:eastAsia="Times New Roman" w:cs="Times New Roman"/>
                <w:sz w:val="19"/>
              </w:rPr>
              <w:t>22,360</w:t>
            </w:r>
          </w:p>
        </w:tc>
        <w:tc>
          <w:tcPr>
            <w:tcW w:type="dxa" w:w="2648"/>
          </w:tcPr>
          <w:p>
            <w:r/>
            <w:r>
              <w:rPr>
                <w:rFonts w:ascii="Calibri" w:hAnsi="Calibri" w:eastAsia="Times New Roman" w:cs="Times New Roman"/>
                <w:sz w:val="19"/>
              </w:rPr>
              <w:t>7.81%</w:t>
            </w:r>
          </w:p>
        </w:tc>
      </w:tr>
      <w:tr>
        <w:tc>
          <w:tcPr>
            <w:tcW w:type="dxa" w:w="2648"/>
          </w:tcPr>
          <w:p>
            <w:r/>
            <w:r>
              <w:rPr>
                <w:rFonts w:ascii="Calibri" w:hAnsi="Calibri" w:eastAsia="Times New Roman" w:cs="Times New Roman"/>
                <w:sz w:val="19"/>
              </w:rPr>
              <w:t>9</w:t>
            </w:r>
          </w:p>
        </w:tc>
        <w:tc>
          <w:tcPr>
            <w:tcW w:type="dxa" w:w="2648"/>
          </w:tcPr>
          <w:p>
            <w:r/>
            <w:r>
              <w:rPr>
                <w:rFonts w:ascii="Calibri" w:hAnsi="Calibri" w:eastAsia="Times New Roman" w:cs="Times New Roman"/>
                <w:sz w:val="19"/>
              </w:rPr>
              <w:t>0.45</w:t>
            </w:r>
          </w:p>
        </w:tc>
        <w:tc>
          <w:tcPr>
            <w:tcW w:type="dxa" w:w="2648"/>
          </w:tcPr>
          <w:p>
            <w:r/>
            <w:r>
              <w:rPr>
                <w:rFonts w:ascii="Calibri" w:hAnsi="Calibri" w:eastAsia="Times New Roman" w:cs="Times New Roman"/>
                <w:sz w:val="19"/>
              </w:rPr>
              <w:t>0.55</w:t>
            </w:r>
          </w:p>
        </w:tc>
        <w:tc>
          <w:tcPr>
            <w:tcW w:type="dxa" w:w="2648"/>
          </w:tcPr>
          <w:p>
            <w:r/>
            <w:r>
              <w:rPr>
                <w:rFonts w:ascii="Calibri" w:hAnsi="Calibri" w:eastAsia="Times New Roman" w:cs="Times New Roman"/>
                <w:sz w:val="19"/>
              </w:rPr>
              <w:t>18,892</w:t>
            </w:r>
          </w:p>
        </w:tc>
        <w:tc>
          <w:tcPr>
            <w:tcW w:type="dxa" w:w="2648"/>
          </w:tcPr>
          <w:p>
            <w:r/>
            <w:r>
              <w:rPr>
                <w:rFonts w:ascii="Calibri" w:hAnsi="Calibri" w:eastAsia="Times New Roman" w:cs="Times New Roman"/>
                <w:sz w:val="19"/>
              </w:rPr>
              <w:t>6.60%</w:t>
            </w:r>
          </w:p>
        </w:tc>
      </w:tr>
      <w:tr>
        <w:tc>
          <w:tcPr>
            <w:tcW w:type="dxa" w:w="2648"/>
          </w:tcPr>
          <w:p>
            <w:r/>
            <w:r>
              <w:rPr>
                <w:rFonts w:ascii="Calibri" w:hAnsi="Calibri" w:eastAsia="Times New Roman" w:cs="Times New Roman"/>
                <w:sz w:val="19"/>
              </w:rPr>
              <w:t>10</w:t>
            </w:r>
          </w:p>
        </w:tc>
        <w:tc>
          <w:tcPr>
            <w:tcW w:type="dxa" w:w="2648"/>
          </w:tcPr>
          <w:p>
            <w:r/>
            <w:r>
              <w:rPr>
                <w:rFonts w:ascii="Calibri" w:hAnsi="Calibri" w:eastAsia="Times New Roman" w:cs="Times New Roman"/>
                <w:sz w:val="19"/>
              </w:rPr>
              <w:t>0.50</w:t>
            </w:r>
          </w:p>
        </w:tc>
        <w:tc>
          <w:tcPr>
            <w:tcW w:type="dxa" w:w="2648"/>
          </w:tcPr>
          <w:p>
            <w:r/>
            <w:r>
              <w:rPr>
                <w:rFonts w:ascii="Calibri" w:hAnsi="Calibri" w:eastAsia="Times New Roman" w:cs="Times New Roman"/>
                <w:sz w:val="19"/>
              </w:rPr>
              <w:t>0.50</w:t>
            </w:r>
          </w:p>
        </w:tc>
        <w:tc>
          <w:tcPr>
            <w:tcW w:type="dxa" w:w="2648"/>
          </w:tcPr>
          <w:p>
            <w:r/>
            <w:r>
              <w:rPr>
                <w:rFonts w:ascii="Calibri" w:hAnsi="Calibri" w:eastAsia="Times New Roman" w:cs="Times New Roman"/>
                <w:sz w:val="19"/>
              </w:rPr>
              <w:t>15,590</w:t>
            </w:r>
          </w:p>
        </w:tc>
        <w:tc>
          <w:tcPr>
            <w:tcW w:type="dxa" w:w="2648"/>
          </w:tcPr>
          <w:p>
            <w:r/>
            <w:r>
              <w:rPr>
                <w:rFonts w:ascii="Calibri" w:hAnsi="Calibri" w:eastAsia="Times New Roman" w:cs="Times New Roman"/>
                <w:sz w:val="19"/>
              </w:rPr>
              <w:t>5.45%</w:t>
            </w:r>
          </w:p>
        </w:tc>
      </w:tr>
      <w:tr>
        <w:tc>
          <w:tcPr>
            <w:tcW w:type="dxa" w:w="2648"/>
          </w:tcPr>
          <w:p>
            <w:r/>
            <w:r>
              <w:rPr>
                <w:rFonts w:ascii="Calibri" w:hAnsi="Calibri" w:eastAsia="Times New Roman" w:cs="Times New Roman"/>
                <w:sz w:val="19"/>
              </w:rPr>
              <w:t>11</w:t>
            </w:r>
          </w:p>
        </w:tc>
        <w:tc>
          <w:tcPr>
            <w:tcW w:type="dxa" w:w="2648"/>
          </w:tcPr>
          <w:p>
            <w:r/>
            <w:r>
              <w:rPr>
                <w:rFonts w:ascii="Calibri" w:hAnsi="Calibri" w:eastAsia="Times New Roman" w:cs="Times New Roman"/>
                <w:sz w:val="19"/>
              </w:rPr>
              <w:t>0.55</w:t>
            </w:r>
          </w:p>
        </w:tc>
        <w:tc>
          <w:tcPr>
            <w:tcW w:type="dxa" w:w="2648"/>
          </w:tcPr>
          <w:p>
            <w:r/>
            <w:r>
              <w:rPr>
                <w:rFonts w:ascii="Calibri" w:hAnsi="Calibri" w:eastAsia="Times New Roman" w:cs="Times New Roman"/>
                <w:sz w:val="19"/>
              </w:rPr>
              <w:t>0.45</w:t>
            </w:r>
          </w:p>
        </w:tc>
        <w:tc>
          <w:tcPr>
            <w:tcW w:type="dxa" w:w="2648"/>
          </w:tcPr>
          <w:p>
            <w:r/>
            <w:r>
              <w:rPr>
                <w:rFonts w:ascii="Calibri" w:hAnsi="Calibri" w:eastAsia="Times New Roman" w:cs="Times New Roman"/>
                <w:sz w:val="19"/>
              </w:rPr>
              <w:t>12,477</w:t>
            </w:r>
          </w:p>
        </w:tc>
        <w:tc>
          <w:tcPr>
            <w:tcW w:type="dxa" w:w="2648"/>
          </w:tcPr>
          <w:p>
            <w:r/>
            <w:r>
              <w:rPr>
                <w:rFonts w:ascii="Calibri" w:hAnsi="Calibri" w:eastAsia="Times New Roman" w:cs="Times New Roman"/>
                <w:sz w:val="19"/>
              </w:rPr>
              <w:t>4.36%</w:t>
            </w:r>
          </w:p>
        </w:tc>
      </w:tr>
      <w:tr>
        <w:tc>
          <w:tcPr>
            <w:tcW w:type="dxa" w:w="2648"/>
          </w:tcPr>
          <w:p>
            <w:r/>
            <w:r>
              <w:rPr>
                <w:rFonts w:ascii="Calibri" w:hAnsi="Calibri" w:eastAsia="Times New Roman" w:cs="Times New Roman"/>
                <w:sz w:val="19"/>
              </w:rPr>
              <w:t>12</w:t>
            </w:r>
          </w:p>
        </w:tc>
        <w:tc>
          <w:tcPr>
            <w:tcW w:type="dxa" w:w="2648"/>
          </w:tcPr>
          <w:p>
            <w:r/>
            <w:r>
              <w:rPr>
                <w:rFonts w:ascii="Calibri" w:hAnsi="Calibri" w:eastAsia="Times New Roman" w:cs="Times New Roman"/>
                <w:sz w:val="19"/>
              </w:rPr>
              <w:t>0.60</w:t>
            </w:r>
          </w:p>
        </w:tc>
        <w:tc>
          <w:tcPr>
            <w:tcW w:type="dxa" w:w="2648"/>
          </w:tcPr>
          <w:p>
            <w:r/>
            <w:r>
              <w:rPr>
                <w:rFonts w:ascii="Calibri" w:hAnsi="Calibri" w:eastAsia="Times New Roman" w:cs="Times New Roman"/>
                <w:sz w:val="19"/>
              </w:rPr>
              <w:t>0.40</w:t>
            </w:r>
          </w:p>
        </w:tc>
        <w:tc>
          <w:tcPr>
            <w:tcW w:type="dxa" w:w="2648"/>
          </w:tcPr>
          <w:p>
            <w:r/>
            <w:r>
              <w:rPr>
                <w:rFonts w:ascii="Calibri" w:hAnsi="Calibri" w:eastAsia="Times New Roman" w:cs="Times New Roman"/>
                <w:sz w:val="19"/>
              </w:rPr>
              <w:t>9,914</w:t>
            </w:r>
          </w:p>
        </w:tc>
        <w:tc>
          <w:tcPr>
            <w:tcW w:type="dxa" w:w="2648"/>
          </w:tcPr>
          <w:p>
            <w:r/>
            <w:r>
              <w:rPr>
                <w:rFonts w:ascii="Calibri" w:hAnsi="Calibri" w:eastAsia="Times New Roman" w:cs="Times New Roman"/>
                <w:sz w:val="19"/>
              </w:rPr>
              <w:t>3.46%</w:t>
            </w:r>
          </w:p>
        </w:tc>
      </w:tr>
      <w:tr>
        <w:tc>
          <w:tcPr>
            <w:tcW w:type="dxa" w:w="2648"/>
          </w:tcPr>
          <w:p>
            <w:r/>
            <w:r>
              <w:rPr>
                <w:rFonts w:ascii="Calibri" w:hAnsi="Calibri" w:eastAsia="Times New Roman" w:cs="Times New Roman"/>
                <w:sz w:val="19"/>
              </w:rPr>
              <w:t>13</w:t>
            </w:r>
          </w:p>
        </w:tc>
        <w:tc>
          <w:tcPr>
            <w:tcW w:type="dxa" w:w="2648"/>
          </w:tcPr>
          <w:p>
            <w:r/>
            <w:r>
              <w:rPr>
                <w:rFonts w:ascii="Calibri" w:hAnsi="Calibri" w:eastAsia="Times New Roman" w:cs="Times New Roman"/>
                <w:sz w:val="19"/>
              </w:rPr>
              <w:t>0.65</w:t>
            </w:r>
          </w:p>
        </w:tc>
        <w:tc>
          <w:tcPr>
            <w:tcW w:type="dxa" w:w="2648"/>
          </w:tcPr>
          <w:p>
            <w:r/>
            <w:r>
              <w:rPr>
                <w:rFonts w:ascii="Calibri" w:hAnsi="Calibri" w:eastAsia="Times New Roman" w:cs="Times New Roman"/>
                <w:sz w:val="19"/>
              </w:rPr>
              <w:t>0.35</w:t>
            </w:r>
          </w:p>
        </w:tc>
        <w:tc>
          <w:tcPr>
            <w:tcW w:type="dxa" w:w="2648"/>
          </w:tcPr>
          <w:p>
            <w:r/>
            <w:r>
              <w:rPr>
                <w:rFonts w:ascii="Calibri" w:hAnsi="Calibri" w:eastAsia="Times New Roman" w:cs="Times New Roman"/>
                <w:sz w:val="19"/>
              </w:rPr>
              <w:t>7,714</w:t>
            </w:r>
          </w:p>
        </w:tc>
        <w:tc>
          <w:tcPr>
            <w:tcW w:type="dxa" w:w="2648"/>
          </w:tcPr>
          <w:p>
            <w:r/>
            <w:r>
              <w:rPr>
                <w:rFonts w:ascii="Calibri" w:hAnsi="Calibri" w:eastAsia="Times New Roman" w:cs="Times New Roman"/>
                <w:sz w:val="19"/>
              </w:rPr>
              <w:t>2.70%</w:t>
            </w:r>
          </w:p>
        </w:tc>
      </w:tr>
      <w:tr>
        <w:tc>
          <w:tcPr>
            <w:tcW w:type="dxa" w:w="2648"/>
          </w:tcPr>
          <w:p>
            <w:r/>
            <w:r>
              <w:rPr>
                <w:rFonts w:ascii="Calibri" w:hAnsi="Calibri" w:eastAsia="Times New Roman" w:cs="Times New Roman"/>
                <w:sz w:val="19"/>
              </w:rPr>
              <w:t>14</w:t>
            </w:r>
          </w:p>
        </w:tc>
        <w:tc>
          <w:tcPr>
            <w:tcW w:type="dxa" w:w="2648"/>
          </w:tcPr>
          <w:p>
            <w:r/>
            <w:r>
              <w:rPr>
                <w:rFonts w:ascii="Calibri" w:hAnsi="Calibri" w:eastAsia="Times New Roman" w:cs="Times New Roman"/>
                <w:sz w:val="19"/>
              </w:rPr>
              <w:t>0.70</w:t>
            </w:r>
          </w:p>
        </w:tc>
        <w:tc>
          <w:tcPr>
            <w:tcW w:type="dxa" w:w="2648"/>
          </w:tcPr>
          <w:p>
            <w:r/>
            <w:r>
              <w:rPr>
                <w:rFonts w:ascii="Calibri" w:hAnsi="Calibri" w:eastAsia="Times New Roman" w:cs="Times New Roman"/>
                <w:sz w:val="19"/>
              </w:rPr>
              <w:t>0.30</w:t>
            </w:r>
          </w:p>
        </w:tc>
        <w:tc>
          <w:tcPr>
            <w:tcW w:type="dxa" w:w="2648"/>
          </w:tcPr>
          <w:p>
            <w:r/>
            <w:r>
              <w:rPr>
                <w:rFonts w:ascii="Calibri" w:hAnsi="Calibri" w:eastAsia="Times New Roman" w:cs="Times New Roman"/>
                <w:sz w:val="19"/>
              </w:rPr>
              <w:t>5,696</w:t>
            </w:r>
          </w:p>
        </w:tc>
        <w:tc>
          <w:tcPr>
            <w:tcW w:type="dxa" w:w="2648"/>
          </w:tcPr>
          <w:p>
            <w:r/>
            <w:r>
              <w:rPr>
                <w:rFonts w:ascii="Calibri" w:hAnsi="Calibri" w:eastAsia="Times New Roman" w:cs="Times New Roman"/>
                <w:sz w:val="19"/>
              </w:rPr>
              <w:t>1.99%</w:t>
            </w:r>
          </w:p>
        </w:tc>
      </w:tr>
      <w:tr>
        <w:tc>
          <w:tcPr>
            <w:tcW w:type="dxa" w:w="2648"/>
          </w:tcPr>
          <w:p>
            <w:r/>
            <w:r>
              <w:rPr>
                <w:rFonts w:ascii="Calibri" w:hAnsi="Calibri" w:eastAsia="Times New Roman" w:cs="Times New Roman"/>
                <w:sz w:val="19"/>
              </w:rPr>
              <w:t>15</w:t>
            </w:r>
          </w:p>
        </w:tc>
        <w:tc>
          <w:tcPr>
            <w:tcW w:type="dxa" w:w="2648"/>
          </w:tcPr>
          <w:p>
            <w:r/>
            <w:r>
              <w:rPr>
                <w:rFonts w:ascii="Calibri" w:hAnsi="Calibri" w:eastAsia="Times New Roman" w:cs="Times New Roman"/>
                <w:sz w:val="19"/>
              </w:rPr>
              <w:t>0.75</w:t>
            </w:r>
          </w:p>
        </w:tc>
        <w:tc>
          <w:tcPr>
            <w:tcW w:type="dxa" w:w="2648"/>
          </w:tcPr>
          <w:p>
            <w:r/>
            <w:r>
              <w:rPr>
                <w:rFonts w:ascii="Calibri" w:hAnsi="Calibri" w:eastAsia="Times New Roman" w:cs="Times New Roman"/>
                <w:sz w:val="19"/>
              </w:rPr>
              <w:t>0.25</w:t>
            </w:r>
          </w:p>
        </w:tc>
        <w:tc>
          <w:tcPr>
            <w:tcW w:type="dxa" w:w="2648"/>
          </w:tcPr>
          <w:p>
            <w:r/>
            <w:r>
              <w:rPr>
                <w:rFonts w:ascii="Calibri" w:hAnsi="Calibri" w:eastAsia="Times New Roman" w:cs="Times New Roman"/>
                <w:sz w:val="19"/>
              </w:rPr>
              <w:t>4,356</w:t>
            </w:r>
          </w:p>
        </w:tc>
        <w:tc>
          <w:tcPr>
            <w:tcW w:type="dxa" w:w="2648"/>
          </w:tcPr>
          <w:p>
            <w:r/>
            <w:r>
              <w:rPr>
                <w:rFonts w:ascii="Calibri" w:hAnsi="Calibri" w:eastAsia="Times New Roman" w:cs="Times New Roman"/>
                <w:sz w:val="19"/>
              </w:rPr>
              <w:t>1.52%</w:t>
            </w:r>
          </w:p>
        </w:tc>
      </w:tr>
      <w:tr>
        <w:tc>
          <w:tcPr>
            <w:tcW w:type="dxa" w:w="2648"/>
          </w:tcPr>
          <w:p>
            <w:r/>
            <w:r>
              <w:rPr>
                <w:rFonts w:ascii="Calibri" w:hAnsi="Calibri" w:eastAsia="Times New Roman" w:cs="Times New Roman"/>
                <w:sz w:val="19"/>
              </w:rPr>
              <w:t>16</w:t>
            </w:r>
          </w:p>
        </w:tc>
        <w:tc>
          <w:tcPr>
            <w:tcW w:type="dxa" w:w="2648"/>
          </w:tcPr>
          <w:p>
            <w:r/>
            <w:r>
              <w:rPr>
                <w:rFonts w:ascii="Calibri" w:hAnsi="Calibri" w:eastAsia="Times New Roman" w:cs="Times New Roman"/>
                <w:sz w:val="19"/>
              </w:rPr>
              <w:t>0.80</w:t>
            </w:r>
          </w:p>
        </w:tc>
        <w:tc>
          <w:tcPr>
            <w:tcW w:type="dxa" w:w="2648"/>
          </w:tcPr>
          <w:p>
            <w:r/>
            <w:r>
              <w:rPr>
                <w:rFonts w:ascii="Calibri" w:hAnsi="Calibri" w:eastAsia="Times New Roman" w:cs="Times New Roman"/>
                <w:sz w:val="19"/>
              </w:rPr>
              <w:t>0.20</w:t>
            </w:r>
          </w:p>
        </w:tc>
        <w:tc>
          <w:tcPr>
            <w:tcW w:type="dxa" w:w="2648"/>
          </w:tcPr>
          <w:p>
            <w:r/>
            <w:r>
              <w:rPr>
                <w:rFonts w:ascii="Calibri" w:hAnsi="Calibri" w:eastAsia="Times New Roman" w:cs="Times New Roman"/>
                <w:sz w:val="19"/>
              </w:rPr>
              <w:t>3,377</w:t>
            </w:r>
          </w:p>
        </w:tc>
        <w:tc>
          <w:tcPr>
            <w:tcW w:type="dxa" w:w="2648"/>
          </w:tcPr>
          <w:p>
            <w:r/>
            <w:r>
              <w:rPr>
                <w:rFonts w:ascii="Calibri" w:hAnsi="Calibri" w:eastAsia="Times New Roman" w:cs="Times New Roman"/>
                <w:sz w:val="19"/>
              </w:rPr>
              <w:t>1.18%</w:t>
            </w:r>
          </w:p>
        </w:tc>
      </w:tr>
      <w:tr>
        <w:tc>
          <w:tcPr>
            <w:tcW w:type="dxa" w:w="2648"/>
          </w:tcPr>
          <w:p>
            <w:r/>
            <w:r>
              <w:rPr>
                <w:rFonts w:ascii="Calibri" w:hAnsi="Calibri" w:eastAsia="Times New Roman" w:cs="Times New Roman"/>
                <w:sz w:val="19"/>
              </w:rPr>
              <w:t>17</w:t>
            </w:r>
          </w:p>
        </w:tc>
        <w:tc>
          <w:tcPr>
            <w:tcW w:type="dxa" w:w="2648"/>
          </w:tcPr>
          <w:p>
            <w:r/>
            <w:r>
              <w:rPr>
                <w:rFonts w:ascii="Calibri" w:hAnsi="Calibri" w:eastAsia="Times New Roman" w:cs="Times New Roman"/>
                <w:sz w:val="19"/>
              </w:rPr>
              <w:t>0.85</w:t>
            </w:r>
          </w:p>
        </w:tc>
        <w:tc>
          <w:tcPr>
            <w:tcW w:type="dxa" w:w="2648"/>
          </w:tcPr>
          <w:p>
            <w:r/>
            <w:r>
              <w:rPr>
                <w:rFonts w:ascii="Calibri" w:hAnsi="Calibri" w:eastAsia="Times New Roman" w:cs="Times New Roman"/>
                <w:sz w:val="19"/>
              </w:rPr>
              <w:t>0.15</w:t>
            </w:r>
          </w:p>
        </w:tc>
        <w:tc>
          <w:tcPr>
            <w:tcW w:type="dxa" w:w="2648"/>
          </w:tcPr>
          <w:p>
            <w:r/>
            <w:r>
              <w:rPr>
                <w:rFonts w:ascii="Calibri" w:hAnsi="Calibri" w:eastAsia="Times New Roman" w:cs="Times New Roman"/>
                <w:sz w:val="19"/>
              </w:rPr>
              <w:t>2,734</w:t>
            </w:r>
          </w:p>
        </w:tc>
        <w:tc>
          <w:tcPr>
            <w:tcW w:type="dxa" w:w="2648"/>
          </w:tcPr>
          <w:p>
            <w:r/>
            <w:r>
              <w:rPr>
                <w:rFonts w:ascii="Calibri" w:hAnsi="Calibri" w:eastAsia="Times New Roman" w:cs="Times New Roman"/>
                <w:sz w:val="19"/>
              </w:rPr>
              <w:t>0.96%</w:t>
            </w:r>
          </w:p>
        </w:tc>
      </w:tr>
      <w:tr>
        <w:tc>
          <w:tcPr>
            <w:tcW w:type="dxa" w:w="2648"/>
          </w:tcPr>
          <w:p>
            <w:r/>
            <w:r>
              <w:rPr>
                <w:rFonts w:ascii="Calibri" w:hAnsi="Calibri" w:eastAsia="Times New Roman" w:cs="Times New Roman"/>
                <w:sz w:val="19"/>
              </w:rPr>
              <w:t>18</w:t>
            </w:r>
          </w:p>
        </w:tc>
        <w:tc>
          <w:tcPr>
            <w:tcW w:type="dxa" w:w="2648"/>
          </w:tcPr>
          <w:p>
            <w:r/>
            <w:r>
              <w:rPr>
                <w:rFonts w:ascii="Calibri" w:hAnsi="Calibri" w:eastAsia="Times New Roman" w:cs="Times New Roman"/>
                <w:sz w:val="19"/>
              </w:rPr>
              <w:t>0.90</w:t>
            </w:r>
          </w:p>
        </w:tc>
        <w:tc>
          <w:tcPr>
            <w:tcW w:type="dxa" w:w="2648"/>
          </w:tcPr>
          <w:p>
            <w:r/>
            <w:r>
              <w:rPr>
                <w:rFonts w:ascii="Calibri" w:hAnsi="Calibri" w:eastAsia="Times New Roman" w:cs="Times New Roman"/>
                <w:sz w:val="19"/>
              </w:rPr>
              <w:t>0.10</w:t>
            </w:r>
          </w:p>
        </w:tc>
        <w:tc>
          <w:tcPr>
            <w:tcW w:type="dxa" w:w="2648"/>
          </w:tcPr>
          <w:p>
            <w:r/>
            <w:r>
              <w:rPr>
                <w:rFonts w:ascii="Calibri" w:hAnsi="Calibri" w:eastAsia="Times New Roman" w:cs="Times New Roman"/>
                <w:sz w:val="19"/>
              </w:rPr>
              <w:t>2,270</w:t>
            </w:r>
          </w:p>
        </w:tc>
        <w:tc>
          <w:tcPr>
            <w:tcW w:type="dxa" w:w="2648"/>
          </w:tcPr>
          <w:p>
            <w:r/>
            <w:r>
              <w:rPr>
                <w:rFonts w:ascii="Calibri" w:hAnsi="Calibri" w:eastAsia="Times New Roman" w:cs="Times New Roman"/>
                <w:sz w:val="19"/>
              </w:rPr>
              <w:t>0.79%</w:t>
            </w:r>
          </w:p>
        </w:tc>
      </w:tr>
      <w:tr>
        <w:tc>
          <w:tcPr>
            <w:tcW w:type="dxa" w:w="2648"/>
          </w:tcPr>
          <w:p>
            <w:r/>
            <w:r>
              <w:rPr>
                <w:rFonts w:ascii="Calibri" w:hAnsi="Calibri" w:eastAsia="Times New Roman" w:cs="Times New Roman"/>
                <w:sz w:val="19"/>
              </w:rPr>
              <w:t>19</w:t>
            </w:r>
          </w:p>
        </w:tc>
        <w:tc>
          <w:tcPr>
            <w:tcW w:type="dxa" w:w="2648"/>
          </w:tcPr>
          <w:p>
            <w:r/>
            <w:r>
              <w:rPr>
                <w:rFonts w:ascii="Calibri" w:hAnsi="Calibri" w:eastAsia="Times New Roman" w:cs="Times New Roman"/>
                <w:sz w:val="19"/>
              </w:rPr>
              <w:t>0.95</w:t>
            </w:r>
          </w:p>
        </w:tc>
        <w:tc>
          <w:tcPr>
            <w:tcW w:type="dxa" w:w="2648"/>
          </w:tcPr>
          <w:p>
            <w:r/>
            <w:r>
              <w:rPr>
                <w:rFonts w:ascii="Calibri" w:hAnsi="Calibri" w:eastAsia="Times New Roman" w:cs="Times New Roman"/>
                <w:sz w:val="19"/>
              </w:rPr>
              <w:t>0.05</w:t>
            </w:r>
          </w:p>
        </w:tc>
        <w:tc>
          <w:tcPr>
            <w:tcW w:type="dxa" w:w="2648"/>
          </w:tcPr>
          <w:p>
            <w:r/>
            <w:r>
              <w:rPr>
                <w:rFonts w:ascii="Calibri" w:hAnsi="Calibri" w:eastAsia="Times New Roman" w:cs="Times New Roman"/>
                <w:sz w:val="19"/>
              </w:rPr>
              <w:t>2,066</w:t>
            </w:r>
          </w:p>
        </w:tc>
        <w:tc>
          <w:tcPr>
            <w:tcW w:type="dxa" w:w="2648"/>
          </w:tcPr>
          <w:p>
            <w:r/>
            <w:r>
              <w:rPr>
                <w:rFonts w:ascii="Calibri" w:hAnsi="Calibri" w:eastAsia="Times New Roman" w:cs="Times New Roman"/>
                <w:sz w:val="19"/>
              </w:rPr>
              <w:t>0.72%</w:t>
            </w:r>
          </w:p>
        </w:tc>
      </w:tr>
      <w:tr>
        <w:tc>
          <w:tcPr>
            <w:tcW w:type="dxa" w:w="2648"/>
          </w:tcPr>
          <w:p>
            <w:r/>
            <w:r>
              <w:rPr>
                <w:rFonts w:ascii="Calibri" w:hAnsi="Calibri" w:eastAsia="Times New Roman" w:cs="Times New Roman"/>
                <w:sz w:val="19"/>
              </w:rPr>
              <w:t>20</w:t>
            </w:r>
          </w:p>
        </w:tc>
        <w:tc>
          <w:tcPr>
            <w:tcW w:type="dxa" w:w="2648"/>
          </w:tcPr>
          <w:p>
            <w:r/>
            <w:r>
              <w:rPr>
                <w:rFonts w:ascii="Calibri" w:hAnsi="Calibri" w:eastAsia="Times New Roman" w:cs="Times New Roman"/>
                <w:sz w:val="19"/>
              </w:rPr>
              <w:t>1.00</w:t>
            </w:r>
          </w:p>
        </w:tc>
        <w:tc>
          <w:tcPr>
            <w:tcW w:type="dxa" w:w="2648"/>
          </w:tcPr>
          <w:p>
            <w:r/>
            <w:r>
              <w:rPr>
                <w:rFonts w:ascii="Calibri" w:hAnsi="Calibri" w:eastAsia="Times New Roman" w:cs="Times New Roman"/>
                <w:sz w:val="19"/>
              </w:rPr>
              <w:t>0.00</w:t>
            </w:r>
          </w:p>
        </w:tc>
        <w:tc>
          <w:tcPr>
            <w:tcW w:type="dxa" w:w="2648"/>
          </w:tcPr>
          <w:p>
            <w:r/>
            <w:r>
              <w:rPr>
                <w:rFonts w:ascii="Calibri" w:hAnsi="Calibri" w:eastAsia="Times New Roman" w:cs="Times New Roman"/>
                <w:sz w:val="19"/>
              </w:rPr>
              <w:t>3,519</w:t>
            </w:r>
          </w:p>
        </w:tc>
        <w:tc>
          <w:tcPr>
            <w:tcW w:type="dxa" w:w="2648"/>
          </w:tcPr>
          <w:p>
            <w:r/>
            <w:r>
              <w:rPr>
                <w:rFonts w:ascii="Calibri" w:hAnsi="Calibri" w:eastAsia="Times New Roman" w:cs="Times New Roman"/>
                <w:sz w:val="19"/>
              </w:rPr>
              <w:t>1.23%</w:t>
            </w:r>
          </w:p>
        </w:tc>
      </w:tr>
    </w:tbl>
    <w:p/>
    <w:p>
      <w:pPr>
        <w:spacing w:after="120"/>
      </w:pPr>
      <w:r>
        <w:rPr>
          <w:rFonts w:ascii="Calibri" w:hAnsi="Calibri" w:eastAsia="Times New Roman" w:cs="Times New Roman"/>
          <w:sz w:val="21"/>
        </w:rPr>
        <w:t>Summary statistics (computed exactly from support-point frequencies, not a floating-point mean):</w:t>
      </w:r>
    </w:p>
    <w:p>
      <w:pPr>
        <w:spacing w:after="120"/>
      </w:pPr>
      <w:r>
        <w:rPr>
          <w:rFonts w:ascii="Calibri" w:hAnsi="Calibri" w:eastAsia="Times New Roman" w:cs="Times New Roman"/>
          <w:b/>
          <w:sz w:val="21"/>
        </w:rPr>
        <w:t>Table 24. Summary statistics of the assist09 sliding-window error-rate distribution (computed exactly from support-point frequencies)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Times New Roman" w:cs="Times New Roman"/>
                <w:b/>
                <w:sz w:val="19"/>
              </w:rPr>
              <w:t>Statistic</w:t>
            </w:r>
          </w:p>
        </w:tc>
        <w:tc>
          <w:tcPr>
            <w:tcW w:type="dxa" w:w="6620"/>
            <w:shd w:val="clear" w:color="auto" w:fill="DDDDDD"/>
          </w:tcPr>
          <w:p>
            <w:r>
              <w:rPr>
                <w:b/>
              </w:rPr>
            </w:r>
            <w:r>
              <w:rPr>
                <w:rFonts w:ascii="Calibri" w:hAnsi="Calibri" w:eastAsia="Times New Roman" w:cs="Times New Roman"/>
                <w:b/>
                <w:sz w:val="19"/>
              </w:rPr>
              <w:t>Value</w:t>
            </w:r>
          </w:p>
        </w:tc>
      </w:tr>
      <w:tr>
        <w:tc>
          <w:tcPr>
            <w:tcW w:type="dxa" w:w="6620"/>
          </w:tcPr>
          <w:p>
            <w:r/>
            <w:r>
              <w:rPr>
                <w:rFonts w:ascii="Calibri" w:hAnsi="Calibri" w:eastAsia="Times New Roman" w:cs="Times New Roman"/>
                <w:sz w:val="19"/>
              </w:rPr>
              <w:t>Mean error rate</w:t>
            </w:r>
          </w:p>
        </w:tc>
        <w:tc>
          <w:tcPr>
            <w:tcW w:type="dxa" w:w="6620"/>
          </w:tcPr>
          <w:p>
            <w:r/>
            <w:r>
              <w:rPr>
                <w:rFonts w:ascii="Calibri" w:hAnsi="Calibri" w:eastAsia="Times New Roman" w:cs="Times New Roman"/>
                <w:b/>
                <w:sz w:val="19"/>
              </w:rPr>
              <w:t>0.3511</w:t>
            </w:r>
          </w:p>
        </w:tc>
      </w:tr>
      <w:tr>
        <w:tc>
          <w:tcPr>
            <w:tcW w:type="dxa" w:w="6620"/>
          </w:tcPr>
          <w:p>
            <w:r/>
            <w:r>
              <w:rPr>
                <w:rFonts w:ascii="Calibri" w:hAnsi="Calibri" w:eastAsia="Times New Roman" w:cs="Times New Roman"/>
                <w:sz w:val="19"/>
              </w:rPr>
              <w:t>Median error rate</w:t>
            </w:r>
          </w:p>
        </w:tc>
        <w:tc>
          <w:tcPr>
            <w:tcW w:type="dxa" w:w="6620"/>
          </w:tcPr>
          <w:p>
            <w:r/>
            <w:r>
              <w:rPr>
                <w:rFonts w:ascii="Calibri" w:hAnsi="Calibri" w:eastAsia="Times New Roman" w:cs="Times New Roman"/>
                <w:b/>
                <w:sz w:val="19"/>
              </w:rPr>
              <w:t>0.30</w:t>
            </w:r>
            <w:r>
              <w:rPr>
                <w:rFonts w:ascii="Calibri" w:hAnsi="Calibri" w:eastAsia="Times New Roman" w:cs="Times New Roman"/>
                <w:sz w:val="19"/>
              </w:rPr>
              <w:t xml:space="preserve"> (success rate 70%)</w:t>
            </w:r>
          </w:p>
        </w:tc>
      </w:tr>
      <w:tr>
        <w:tc>
          <w:tcPr>
            <w:tcW w:type="dxa" w:w="6620"/>
          </w:tcPr>
          <w:p>
            <w:r/>
            <w:r>
              <w:rPr>
                <w:rFonts w:ascii="Calibri" w:hAnsi="Calibri" w:eastAsia="Times New Roman" w:cs="Times New Roman"/>
                <w:b/>
                <w:sz w:val="19"/>
              </w:rPr>
              <w:t>Mode (single value)</w:t>
            </w:r>
          </w:p>
        </w:tc>
        <w:tc>
          <w:tcPr>
            <w:tcW w:type="dxa" w:w="6620"/>
          </w:tcPr>
          <w:p>
            <w:r/>
            <w:r>
              <w:rPr>
                <w:rFonts w:ascii="Calibri" w:hAnsi="Calibri" w:eastAsia="Times New Roman" w:cs="Times New Roman"/>
                <w:b/>
                <w:sz w:val="19"/>
              </w:rPr>
              <w:t>error rate 0.25, i.e., success rate 75%</w:t>
            </w:r>
            <w:r>
              <w:rPr>
                <w:rFonts w:ascii="Calibri" w:hAnsi="Calibri" w:eastAsia="Times New Roman" w:cs="Times New Roman"/>
                <w:sz w:val="19"/>
              </w:rPr>
              <w:t xml:space="preserve"> (k = 5, 30,899 windows)</w:t>
            </w:r>
          </w:p>
        </w:tc>
      </w:tr>
      <w:tr>
        <w:tc>
          <w:tcPr>
            <w:tcW w:type="dxa" w:w="6620"/>
          </w:tcPr>
          <w:p>
            <w:r/>
            <w:r>
              <w:rPr>
                <w:rFonts w:ascii="Calibri" w:hAnsi="Calibri" w:eastAsia="Times New Roman" w:cs="Times New Roman"/>
                <w:sz w:val="19"/>
              </w:rPr>
              <w:t>Mode's bootstrap 95% set (</w:t>
            </w:r>
            <w:r>
              <w:rPr>
                <w:rFonts w:ascii="Calibri" w:hAnsi="Calibri" w:eastAsia="Times New Roman" w:cs="Times New Roman"/>
                <w:b/>
                <w:sz w:val="19"/>
              </w:rPr>
              <w:t>2,000</w:t>
            </w:r>
            <w:r>
              <w:rPr>
                <w:rFonts w:ascii="Calibri" w:hAnsi="Calibri" w:eastAsia="Times New Roman" w:cs="Times New Roman"/>
                <w:sz w:val="19"/>
              </w:rPr>
              <w:t xml:space="preserve"> resamples by student, seed 20260922; rerun on the assist09 source data on 2026-10-04 per review §3.3)</w:t>
            </w:r>
          </w:p>
        </w:tc>
        <w:tc>
          <w:tcPr>
            <w:tcW w:type="dxa" w:w="6620"/>
          </w:tcPr>
          <w:p>
            <w:r/>
            <w:r>
              <w:rPr>
                <w:rFonts w:ascii="Calibri" w:hAnsi="Calibri" w:eastAsia="Times New Roman" w:cs="Times New Roman"/>
                <w:b/>
                <w:sz w:val="19"/>
              </w:rPr>
              <w:t>{0.25, 0.20}</w:t>
            </w:r>
            <w:r>
              <w:rPr>
                <w:rFonts w:ascii="Calibri" w:hAnsi="Calibri" w:eastAsia="Times New Roman" w:cs="Times New Roman"/>
                <w:sz w:val="19"/>
              </w:rPr>
              <w:t xml:space="preserve"> — k = 5 in </w:t>
            </w:r>
            <w:r>
              <w:rPr>
                <w:rFonts w:ascii="Calibri" w:hAnsi="Calibri" w:eastAsia="Times New Roman" w:cs="Times New Roman"/>
                <w:b/>
                <w:sz w:val="19"/>
              </w:rPr>
              <w:t>94.1%</w:t>
            </w:r>
            <w:r>
              <w:rPr>
                <w:rFonts w:ascii="Calibri" w:hAnsi="Calibri" w:eastAsia="Times New Roman" w:cs="Times New Roman"/>
                <w:sz w:val="19"/>
              </w:rPr>
              <w:t xml:space="preserve"> and k = 4 in </w:t>
            </w:r>
            <w:r>
              <w:rPr>
                <w:rFonts w:ascii="Calibri" w:hAnsi="Calibri" w:eastAsia="Times New Roman" w:cs="Times New Roman"/>
                <w:b/>
                <w:sz w:val="19"/>
              </w:rPr>
              <w:t>5.95%</w:t>
            </w:r>
            <w:r>
              <w:rPr>
                <w:rFonts w:ascii="Calibri" w:hAnsi="Calibri" w:eastAsia="Times New Roman" w:cs="Times New Roman"/>
                <w:sz w:val="19"/>
              </w:rPr>
              <w:t xml:space="preserve"> of resamples; k = 5 alone falls below 95%, so the 95% set carries two support points and </w:t>
            </w:r>
            <w:r>
              <w:rPr>
                <w:rFonts w:ascii="Calibri" w:hAnsi="Calibri" w:eastAsia="Times New Roman" w:cs="Times New Roman"/>
                <w:b/>
                <w:sz w:val="19"/>
              </w:rPr>
              <w:t>the mode is no longer unique at the 95% threshold</w:t>
            </w:r>
            <w:r>
              <w:rPr>
                <w:rFonts w:ascii="Calibri" w:hAnsi="Calibri" w:eastAsia="Times New Roman" w:cs="Times New Roman"/>
                <w:sz w:val="19"/>
              </w:rPr>
              <w:t xml:space="preserve"> (Monte Carlo standard error ≈ 0.5 percentage points; superseded 200-resample record: {0.25} at 95.5%, SE ≈ 1.5 pp)</w:t>
            </w:r>
          </w:p>
        </w:tc>
      </w:tr>
      <w:tr>
        <w:tc>
          <w:tcPr>
            <w:tcW w:type="dxa" w:w="6620"/>
          </w:tcPr>
          <w:p>
            <w:r/>
            <w:r>
              <w:rPr>
                <w:rFonts w:ascii="Calibri" w:hAnsi="Calibri" w:eastAsia="Times New Roman" w:cs="Times New Roman"/>
                <w:sz w:val="19"/>
              </w:rPr>
              <w:t>Window share with success rate 77–83%</w:t>
            </w:r>
          </w:p>
        </w:tc>
        <w:tc>
          <w:tcPr>
            <w:tcW w:type="dxa" w:w="6620"/>
          </w:tcPr>
          <w:p>
            <w:r/>
            <w:r>
              <w:rPr>
                <w:rFonts w:ascii="Calibri" w:hAnsi="Calibri" w:eastAsia="Times New Roman" w:cs="Times New Roman"/>
                <w:sz w:val="19"/>
              </w:rPr>
              <w:t>10.51% (only k = 4 falls in this interval)</w:t>
            </w:r>
          </w:p>
        </w:tc>
      </w:tr>
      <w:tr>
        <w:tc>
          <w:tcPr>
            <w:tcW w:type="dxa" w:w="6620"/>
          </w:tcPr>
          <w:p>
            <w:r/>
            <w:r>
              <w:rPr>
                <w:rFonts w:ascii="Calibri" w:hAnsi="Calibri" w:eastAsia="Times New Roman" w:cs="Times New Roman"/>
                <w:sz w:val="19"/>
              </w:rPr>
              <w:t>Window share with success rate 80–90%</w:t>
            </w:r>
          </w:p>
        </w:tc>
        <w:tc>
          <w:tcPr>
            <w:tcW w:type="dxa" w:w="6620"/>
          </w:tcPr>
          <w:p>
            <w:r/>
            <w:r>
              <w:rPr>
                <w:rFonts w:ascii="Calibri" w:hAnsi="Calibri" w:eastAsia="Times New Roman" w:cs="Times New Roman"/>
                <w:b/>
                <w:sz w:val="19"/>
              </w:rPr>
              <w:t>26.40%</w:t>
            </w:r>
            <w:r>
              <w:rPr>
                <w:rFonts w:ascii="Calibri" w:hAnsi="Calibri" w:eastAsia="Times New Roman" w:cs="Times New Roman"/>
                <w:sz w:val="19"/>
              </w:rPr>
              <w:t xml:space="preserve"> (k = 2, 3, 4)</w:t>
            </w:r>
          </w:p>
        </w:tc>
      </w:tr>
      <w:tr>
        <w:tc>
          <w:tcPr>
            <w:tcW w:type="dxa" w:w="6620"/>
          </w:tcPr>
          <w:p>
            <w:r/>
            <w:r>
              <w:rPr>
                <w:rFonts w:ascii="Calibri" w:hAnsi="Calibri" w:eastAsia="Times New Roman" w:cs="Times New Roman"/>
                <w:sz w:val="19"/>
              </w:rPr>
              <w:t>Window share with success rate 80–85%</w:t>
            </w:r>
          </w:p>
        </w:tc>
        <w:tc>
          <w:tcPr>
            <w:tcW w:type="dxa" w:w="6620"/>
          </w:tcPr>
          <w:p>
            <w:r/>
            <w:r>
              <w:rPr>
                <w:rFonts w:ascii="Calibri" w:hAnsi="Calibri" w:eastAsia="Times New Roman" w:cs="Times New Roman"/>
                <w:sz w:val="19"/>
              </w:rPr>
              <w:t>19.64% (k = 3, 4)</w:t>
            </w:r>
          </w:p>
        </w:tc>
      </w:tr>
    </w:tbl>
    <w:p/>
    <w:p>
      <w:pPr>
        <w:spacing w:after="120"/>
      </w:pPr>
      <w:r>
        <w:rPr>
          <w:rFonts w:ascii="Calibri" w:hAnsi="Calibri" w:eastAsia="Times New Roman" w:cs="Times New Roman"/>
          <w:sz w:val="21"/>
        </w:rPr>
        <w:t xml:space="preserve">Therefore, taking the single value, </w:t>
      </w:r>
      <w:r>
        <w:rPr>
          <w:rFonts w:ascii="Calibri" w:hAnsi="Calibri" w:eastAsia="Times New Roman" w:cs="Times New Roman"/>
          <w:b/>
          <w:sz w:val="21"/>
        </w:rPr>
        <w:t>the statement "80–85% success rate is the mode" does not match the stored result</w:t>
      </w:r>
      <w:r>
        <w:rPr>
          <w:rFonts w:ascii="Calibri" w:hAnsi="Calibri" w:eastAsia="Times New Roman" w:cs="Times New Roman"/>
          <w:sz w:val="21"/>
        </w:rPr>
        <w:t>: the global mode is 75% success rate (both 0.20 and 0.15 have fewer windows than its 30,899). Under a discrete distribution the mode has no stability problem in the point-estimate sense, but resampling does delimit it: with 2,000 student-level resamples the mode support is k = 5 in 94.1% and k = 4 in 5.95%, so k = 5 is the modal support point while the 95% set is {0.25, 0.20} rather than a single point.</w:t>
      </w:r>
    </w:p>
    <w:p>
      <w:pPr>
        <w:spacing w:after="120"/>
      </w:pPr>
      <w:r>
        <w:rPr>
          <w:rFonts w:ascii="Calibri" w:hAnsi="Calibri" w:eastAsia="Times New Roman" w:cs="Times New Roman"/>
          <w:b/>
          <w:sz w:val="21"/>
        </w:rPr>
        <w:t>The claim "the three filter calibers share the same mode" does not hold.</w:t>
      </w:r>
      <w:r>
        <w:rPr>
          <w:rFonts w:ascii="Calibri" w:hAnsi="Calibri" w:eastAsia="Times New Roman" w:cs="Times New Roman"/>
          <w:sz w:val="21"/>
        </w:rPr>
        <w:t xml:space="preserve"> After recomputing each caliber by integer error count, the mode support points are </w:t>
      </w:r>
      <w:r>
        <w:rPr>
          <w:rFonts w:ascii="Calibri" w:hAnsi="Calibri" w:eastAsia="Times New Roman" w:cs="Times New Roman"/>
          <w:b/>
          <w:sz w:val="21"/>
        </w:rPr>
        <w:t>mutually different</w:t>
      </w:r>
      <w:r>
        <w:rPr>
          <w:rFonts w:ascii="Calibri" w:hAnsi="Calibri" w:eastAsia="Times New Roman" w:cs="Times New Roman"/>
          <w:sz w:val="21"/>
        </w:rPr>
        <w:t>:</w:t>
      </w:r>
    </w:p>
    <w:p>
      <w:pPr>
        <w:spacing w:after="120"/>
      </w:pPr>
      <w:r>
        <w:rPr>
          <w:rFonts w:ascii="Calibri" w:hAnsi="Calibri" w:eastAsia="Times New Roman" w:cs="Times New Roman"/>
          <w:b/>
          <w:sz w:val="21"/>
        </w:rPr>
        <w:t>Table 25. Robustness of the mode across three filter calibers (recomputed by integer error count)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Times New Roman" w:cs="Times New Roman"/>
                <w:b/>
                <w:sz w:val="19"/>
              </w:rPr>
              <w:t>Filter caliber</w:t>
            </w:r>
          </w:p>
        </w:tc>
        <w:tc>
          <w:tcPr>
            <w:tcW w:type="dxa" w:w="2648"/>
            <w:shd w:val="clear" w:color="auto" w:fill="DDDDDD"/>
          </w:tcPr>
          <w:p>
            <w:r>
              <w:rPr>
                <w:b/>
              </w:rPr>
            </w:r>
            <w:r>
              <w:rPr>
                <w:rFonts w:ascii="Calibri" w:hAnsi="Calibri" w:eastAsia="Times New Roman" w:cs="Times New Roman"/>
                <w:b/>
                <w:sz w:val="19"/>
              </w:rPr>
              <w:t>windows (students)</w:t>
            </w:r>
          </w:p>
        </w:tc>
        <w:tc>
          <w:tcPr>
            <w:tcW w:type="dxa" w:w="2648"/>
            <w:shd w:val="clear" w:color="auto" w:fill="DDDDDD"/>
          </w:tcPr>
          <w:p>
            <w:r>
              <w:rPr>
                <w:b/>
              </w:rPr>
            </w:r>
            <w:r>
              <w:rPr>
                <w:rFonts w:ascii="Calibri" w:hAnsi="Calibri" w:eastAsia="Times New Roman" w:cs="Times New Roman"/>
                <w:b/>
                <w:sz w:val="19"/>
              </w:rPr>
              <w:t>mean error rate</w:t>
            </w:r>
          </w:p>
        </w:tc>
        <w:tc>
          <w:tcPr>
            <w:tcW w:type="dxa" w:w="2648"/>
            <w:shd w:val="clear" w:color="auto" w:fill="DDDDDD"/>
          </w:tcPr>
          <w:p>
            <w:r>
              <w:rPr>
                <w:b/>
              </w:rPr>
            </w:r>
            <w:r>
              <w:rPr>
                <w:rFonts w:ascii="Calibri" w:hAnsi="Calibri" w:eastAsia="Times New Roman" w:cs="Times New Roman"/>
                <w:b/>
                <w:sz w:val="19"/>
              </w:rPr>
              <w:t>mode support point</w:t>
            </w:r>
          </w:p>
        </w:tc>
        <w:tc>
          <w:tcPr>
            <w:tcW w:type="dxa" w:w="2648"/>
            <w:shd w:val="clear" w:color="auto" w:fill="DDDDDD"/>
          </w:tcPr>
          <w:p>
            <w:r>
              <w:rPr>
                <w:b/>
              </w:rPr>
            </w:r>
            <w:r>
              <w:rPr>
                <w:rFonts w:ascii="Calibri" w:hAnsi="Calibri" w:eastAsia="Times New Roman" w:cs="Times New Roman"/>
                <w:b/>
                <w:sz w:val="19"/>
              </w:rPr>
              <w:t>success rate</w:t>
            </w:r>
          </w:p>
        </w:tc>
      </w:tr>
      <w:tr>
        <w:tc>
          <w:tcPr>
            <w:tcW w:type="dxa" w:w="2648"/>
          </w:tcPr>
          <w:p>
            <w:r/>
            <w:r>
              <w:rPr>
                <w:rFonts w:ascii="Calibri" w:hAnsi="Calibri" w:eastAsia="Times New Roman" w:cs="Times New Roman"/>
                <w:sz w:val="19"/>
              </w:rPr>
              <w:t>Full</w:t>
            </w:r>
          </w:p>
        </w:tc>
        <w:tc>
          <w:tcPr>
            <w:tcW w:type="dxa" w:w="2648"/>
          </w:tcPr>
          <w:p>
            <w:r/>
            <w:r>
              <w:rPr>
                <w:rFonts w:ascii="Calibri" w:hAnsi="Calibri" w:eastAsia="Times New Roman" w:cs="Times New Roman"/>
                <w:sz w:val="19"/>
              </w:rPr>
              <w:t>286,150 (2,314 / 4,217)</w:t>
            </w:r>
          </w:p>
        </w:tc>
        <w:tc>
          <w:tcPr>
            <w:tcW w:type="dxa" w:w="2648"/>
          </w:tcPr>
          <w:p>
            <w:r/>
            <w:r>
              <w:rPr>
                <w:rFonts w:ascii="Calibri" w:hAnsi="Calibri" w:eastAsia="Times New Roman" w:cs="Times New Roman"/>
                <w:sz w:val="19"/>
              </w:rPr>
              <w:t>0.3511</w:t>
            </w:r>
          </w:p>
        </w:tc>
        <w:tc>
          <w:tcPr>
            <w:tcW w:type="dxa" w:w="2648"/>
          </w:tcPr>
          <w:p>
            <w:r/>
            <w:r>
              <w:rPr>
                <w:rFonts w:ascii="Calibri" w:hAnsi="Calibri" w:eastAsia="Times New Roman" w:cs="Times New Roman"/>
                <w:sz w:val="19"/>
              </w:rPr>
              <w:t>k = 5</w:t>
            </w:r>
          </w:p>
        </w:tc>
        <w:tc>
          <w:tcPr>
            <w:tcW w:type="dxa" w:w="2648"/>
          </w:tcPr>
          <w:p>
            <w:r/>
            <w:r>
              <w:rPr>
                <w:rFonts w:ascii="Calibri" w:hAnsi="Calibri" w:eastAsia="Times New Roman" w:cs="Times New Roman"/>
                <w:sz w:val="19"/>
              </w:rPr>
              <w:t>75%</w:t>
            </w:r>
          </w:p>
        </w:tc>
      </w:tr>
      <w:tr>
        <w:tc>
          <w:tcPr>
            <w:tcW w:type="dxa" w:w="2648"/>
          </w:tcPr>
          <w:p>
            <w:r/>
            <w:r>
              <w:rPr>
                <w:rFonts w:ascii="Calibri" w:hAnsi="Calibri" w:eastAsia="Times New Roman" w:cs="Times New Roman"/>
                <w:sz w:val="19"/>
              </w:rPr>
              <w:t>Topic items only (</w:t>
            </w:r>
            <w:r>
              <w:rPr>
                <w:rFonts w:ascii="Consolas" w:hAnsi="Consolas" w:eastAsia="Times New Roman" w:cs="Times New Roman"/>
                <w:sz w:val="19"/>
              </w:rPr>
              <w:t>original = 1</w:t>
            </w:r>
            <w:r>
              <w:rPr>
                <w:rFonts w:ascii="Calibri" w:hAnsi="Calibri" w:eastAsia="Times New Roman" w:cs="Times New Roman"/>
                <w:sz w:val="19"/>
              </w:rPr>
              <w:t>)</w:t>
            </w:r>
          </w:p>
        </w:tc>
        <w:tc>
          <w:tcPr>
            <w:tcW w:type="dxa" w:w="2648"/>
          </w:tcPr>
          <w:p>
            <w:r/>
            <w:r>
              <w:rPr>
                <w:rFonts w:ascii="Calibri" w:hAnsi="Calibri" w:eastAsia="Times New Roman" w:cs="Times New Roman"/>
                <w:sz w:val="19"/>
              </w:rPr>
              <w:t>216,993 (2,112 / 4,217)</w:t>
            </w:r>
          </w:p>
        </w:tc>
        <w:tc>
          <w:tcPr>
            <w:tcW w:type="dxa" w:w="2648"/>
          </w:tcPr>
          <w:p>
            <w:r/>
            <w:r>
              <w:rPr>
                <w:rFonts w:ascii="Calibri" w:hAnsi="Calibri" w:eastAsia="Times New Roman" w:cs="Times New Roman"/>
                <w:sz w:val="19"/>
              </w:rPr>
              <w:t>0.3334</w:t>
            </w:r>
          </w:p>
        </w:tc>
        <w:tc>
          <w:tcPr>
            <w:tcW w:type="dxa" w:w="2648"/>
          </w:tcPr>
          <w:p>
            <w:r/>
            <w:r>
              <w:rPr>
                <w:rFonts w:ascii="Calibri" w:hAnsi="Calibri" w:eastAsia="Times New Roman" w:cs="Times New Roman"/>
                <w:sz w:val="19"/>
              </w:rPr>
              <w:t>k = 4</w:t>
            </w:r>
          </w:p>
        </w:tc>
        <w:tc>
          <w:tcPr>
            <w:tcW w:type="dxa" w:w="2648"/>
          </w:tcPr>
          <w:p>
            <w:r/>
            <w:r>
              <w:rPr>
                <w:rFonts w:ascii="Calibri" w:hAnsi="Calibri" w:eastAsia="Times New Roman" w:cs="Times New Roman"/>
                <w:sz w:val="19"/>
              </w:rPr>
              <w:t>80%</w:t>
            </w:r>
          </w:p>
        </w:tc>
      </w:tr>
      <w:tr>
        <w:tc>
          <w:tcPr>
            <w:tcW w:type="dxa" w:w="2648"/>
          </w:tcPr>
          <w:p>
            <w:r/>
            <w:r>
              <w:rPr>
                <w:rFonts w:ascii="Calibri" w:hAnsi="Calibri" w:eastAsia="Times New Roman" w:cs="Times New Roman"/>
                <w:sz w:val="19"/>
              </w:rPr>
              <w:t>No-help items (</w:t>
            </w:r>
            <w:r>
              <w:rPr>
                <w:rFonts w:ascii="Consolas" w:hAnsi="Consolas" w:eastAsia="Times New Roman" w:cs="Times New Roman"/>
                <w:sz w:val="19"/>
              </w:rPr>
              <w:t>hint_count = 0</w:t>
            </w:r>
            <w:r>
              <w:rPr>
                <w:rFonts w:ascii="Calibri" w:hAnsi="Calibri" w:eastAsia="Times New Roman" w:cs="Times New Roman"/>
                <w:sz w:val="19"/>
              </w:rPr>
              <w:t>)</w:t>
            </w:r>
          </w:p>
        </w:tc>
        <w:tc>
          <w:tcPr>
            <w:tcW w:type="dxa" w:w="2648"/>
          </w:tcPr>
          <w:p>
            <w:r/>
            <w:r>
              <w:rPr>
                <w:rFonts w:ascii="Calibri" w:hAnsi="Calibri" w:eastAsia="Times New Roman" w:cs="Times New Roman"/>
                <w:sz w:val="19"/>
              </w:rPr>
              <w:t>231,125 (2,021 / 4,106)</w:t>
            </w:r>
          </w:p>
        </w:tc>
        <w:tc>
          <w:tcPr>
            <w:tcW w:type="dxa" w:w="2648"/>
          </w:tcPr>
          <w:p>
            <w:r/>
            <w:r>
              <w:rPr>
                <w:rFonts w:ascii="Calibri" w:hAnsi="Calibri" w:eastAsia="Times New Roman" w:cs="Times New Roman"/>
                <w:sz w:val="19"/>
              </w:rPr>
              <w:t>0.2183</w:t>
            </w:r>
          </w:p>
        </w:tc>
        <w:tc>
          <w:tcPr>
            <w:tcW w:type="dxa" w:w="2648"/>
          </w:tcPr>
          <w:p>
            <w:r/>
            <w:r>
              <w:rPr>
                <w:rFonts w:ascii="Calibri" w:hAnsi="Calibri" w:eastAsia="Times New Roman" w:cs="Times New Roman"/>
                <w:sz w:val="19"/>
              </w:rPr>
              <w:t>k = 3</w:t>
            </w:r>
          </w:p>
        </w:tc>
        <w:tc>
          <w:tcPr>
            <w:tcW w:type="dxa" w:w="2648"/>
          </w:tcPr>
          <w:p>
            <w:r/>
            <w:r>
              <w:rPr>
                <w:rFonts w:ascii="Calibri" w:hAnsi="Calibri" w:eastAsia="Times New Roman" w:cs="Times New Roman"/>
                <w:sz w:val="19"/>
              </w:rPr>
              <w:t>85%</w:t>
            </w:r>
          </w:p>
        </w:tc>
      </w:tr>
      <w:tr>
        <w:tc>
          <w:tcPr>
            <w:tcW w:type="dxa" w:w="2648"/>
          </w:tcPr>
          <w:p>
            <w:r/>
            <w:r>
              <w:rPr>
                <w:rFonts w:ascii="Consolas" w:hAnsi="Consolas" w:eastAsia="Times New Roman" w:cs="Times New Roman"/>
                <w:sz w:val="19"/>
              </w:rPr>
              <w:t>tutor_mode = test</w:t>
            </w:r>
            <w:r>
              <w:rPr>
                <w:rFonts w:ascii="Calibri" w:hAnsi="Calibri" w:eastAsia="Times New Roman" w:cs="Times New Roman"/>
                <w:sz w:val="19"/>
              </w:rPr>
              <w:t xml:space="preserve"> (not valid)</w:t>
            </w:r>
          </w:p>
        </w:tc>
        <w:tc>
          <w:tcPr>
            <w:tcW w:type="dxa" w:w="2648"/>
          </w:tcPr>
          <w:p>
            <w:r/>
            <w:r>
              <w:rPr>
                <w:rFonts w:ascii="Calibri" w:hAnsi="Calibri" w:eastAsia="Times New Roman" w:cs="Times New Roman"/>
                <w:sz w:val="19"/>
              </w:rPr>
              <w:t>0 (0 / 30)</w:t>
            </w:r>
          </w:p>
        </w:tc>
        <w:tc>
          <w:tcPr>
            <w:tcW w:type="dxa" w:w="2648"/>
          </w:tcPr>
          <w:p>
            <w:r/>
            <w:r>
              <w:rPr>
                <w:rFonts w:ascii="Calibri" w:hAnsi="Calibri" w:eastAsia="Times New Roman" w:cs="Times New Roman"/>
                <w:sz w:val="19"/>
              </w:rPr>
              <w:t>—</w:t>
            </w:r>
          </w:p>
        </w:tc>
        <w:tc>
          <w:tcPr>
            <w:tcW w:type="dxa" w:w="2648"/>
          </w:tcPr>
          <w:p>
            <w:r/>
            <w:r>
              <w:rPr>
                <w:rFonts w:ascii="Calibri" w:hAnsi="Calibri" w:eastAsia="Times New Roman" w:cs="Times New Roman"/>
                <w:sz w:val="19"/>
              </w:rPr>
              <w:t>—</w:t>
            </w:r>
          </w:p>
        </w:tc>
        <w:tc>
          <w:tcPr>
            <w:tcW w:type="dxa" w:w="2648"/>
          </w:tcPr>
          <w:p>
            <w:r/>
            <w:r>
              <w:rPr>
                <w:rFonts w:ascii="Calibri" w:hAnsi="Calibri" w:eastAsia="Times New Roman" w:cs="Times New Roman"/>
                <w:sz w:val="19"/>
              </w:rPr>
              <w:t>—</w:t>
            </w:r>
          </w:p>
        </w:tc>
      </w:tr>
    </w:tbl>
    <w:p/>
    <w:p>
      <w:pPr>
        <w:spacing w:after="120"/>
      </w:pPr>
      <w:r>
        <w:rPr>
          <w:rFonts w:ascii="Calibri" w:hAnsi="Calibri" w:eastAsia="Times New Roman" w:cs="Times New Roman"/>
          <w:sz w:val="21"/>
        </w:rPr>
        <w:t xml:space="preserve">An earlier version claimed "all three calibers have mode interval 0.15–0.20," which was the result of reusing the same binning function, not independent evidence; and the </w:t>
      </w:r>
      <w:r>
        <w:rPr>
          <w:rFonts w:ascii="Consolas" w:hAnsi="Consolas" w:eastAsia="Times New Roman" w:cs="Times New Roman"/>
          <w:sz w:val="21"/>
        </w:rPr>
        <w:t>tutor_mode</w:t>
      </w:r>
      <w:r>
        <w:rPr>
          <w:rFonts w:ascii="Calibri" w:hAnsi="Calibri" w:eastAsia="Times New Roman" w:cs="Times New Roman"/>
          <w:sz w:val="21"/>
        </w:rPr>
        <w:t xml:space="preserve"> caliber has 0 windows, so it does not constitute a caliber at all. After recomputing by integer error count, the mode position </w:t>
      </w:r>
      <w:r>
        <w:rPr>
          <w:rFonts w:ascii="Calibri" w:hAnsi="Calibri" w:eastAsia="Times New Roman" w:cs="Times New Roman"/>
          <w:b/>
          <w:sz w:val="21"/>
        </w:rPr>
        <w:t>does move with item type</w:t>
      </w:r>
      <w:r>
        <w:rPr>
          <w:rFonts w:ascii="Calibri" w:hAnsi="Calibri" w:eastAsia="Times New Roman" w:cs="Times New Roman"/>
          <w:sz w:val="21"/>
        </w:rPr>
        <w:t xml:space="preserve"> (help items push the distribution toward lower error rates), which is itself a reportable phenomenon, but it cannot be written as "robust."</w:t>
      </w:r>
    </w:p>
    <w:p>
      <w:pPr>
        <w:pStyle w:val="Heading2"/>
        <w:spacing w:before="120" w:after="80"/>
      </w:pPr>
      <w:r>
        <w:rPr>
          <w:rFonts w:ascii="Calibri" w:hAnsi="Calibri" w:eastAsia="Times New Roman" w:cs="Times New Roman"/>
          <w:sz w:val="27"/>
        </w:rPr>
        <w:t>8.2 What this distribution shows and does not show</w:t>
      </w:r>
    </w:p>
    <w:p>
      <w:pPr>
        <w:spacing w:after="120"/>
      </w:pPr>
      <w:r>
        <w:rPr>
          <w:rFonts w:ascii="Calibri" w:hAnsi="Calibri" w:eastAsia="Times New Roman" w:cs="Times New Roman"/>
          <w:sz w:val="21"/>
        </w:rPr>
        <w:t xml:space="preserve">Two things it shows are conservative. First, </w:t>
      </w:r>
      <w:r>
        <w:rPr>
          <w:rFonts w:ascii="Calibri" w:hAnsi="Calibri" w:eastAsia="Times New Roman" w:cs="Times New Roman"/>
          <w:b/>
          <w:sz w:val="21"/>
        </w:rPr>
        <w:t>a large number of learning windows sit in the "overly difficult" interval</w:t>
      </w:r>
      <w:r>
        <w:rPr>
          <w:rFonts w:ascii="Calibri" w:hAnsi="Calibri" w:eastAsia="Times New Roman" w:cs="Times New Roman"/>
          <w:sz w:val="21"/>
        </w:rPr>
        <w:t>—the mean error rate 0.3511 is far above any version of the optimal value, and the median 0.30 (success 70%) is likewise; only 26.40% of windows fall in success 80–90%, 19.64% in 80–85%, and 10.51% in 77–83%. In other words, the difficulty the real system allocates has its distribution centre not near the theoretical optimum, consistent with the intuition that "systems are generally too hard."</w:t>
      </w:r>
    </w:p>
    <w:p>
      <w:pPr>
        <w:spacing w:after="120"/>
      </w:pPr>
      <w:r>
        <w:rPr>
          <w:rFonts w:ascii="Calibri" w:hAnsi="Calibri" w:eastAsia="Times New Roman" w:cs="Times New Roman"/>
          <w:sz w:val="21"/>
        </w:rPr>
        <w:t xml:space="preserve">Second, </w:t>
      </w:r>
      <w:r>
        <w:rPr>
          <w:rFonts w:ascii="Calibri" w:hAnsi="Calibri" w:eastAsia="Times New Roman" w:cs="Times New Roman"/>
          <w:b/>
          <w:sz w:val="21"/>
        </w:rPr>
        <w:t>the single-value mode of the distribution is 75% success rate (error rate 0.25, 30,899 windows)</w:t>
      </w:r>
      <w:r>
        <w:rPr>
          <w:rFonts w:ascii="Calibri" w:hAnsi="Calibri" w:eastAsia="Times New Roman" w:cs="Times New Roman"/>
          <w:sz w:val="21"/>
        </w:rPr>
        <w:t xml:space="preserve">. This position is </w:t>
      </w:r>
      <w:r>
        <w:rPr>
          <w:rFonts w:ascii="Calibri" w:hAnsi="Calibri" w:eastAsia="Times New Roman" w:cs="Times New Roman"/>
          <w:b/>
          <w:sz w:val="21"/>
        </w:rPr>
        <w:t>below</w:t>
      </w:r>
      <w:r>
        <w:rPr>
          <w:rFonts w:ascii="Calibri" w:hAnsi="Calibri" w:eastAsia="Times New Roman" w:cs="Times New Roman"/>
          <w:sz w:val="21"/>
        </w:rPr>
        <w:t xml:space="preserve"> Wilson et al.'s 84.13% and Baillifard et al.'s 80.7%, while the 80–85% success band occupies only 19.64% of all windows. The 80–85% success band occupies only 19.64% of windows. </w:t>
      </w:r>
      <w:r>
        <w:rPr>
          <w:rFonts w:ascii="Calibri" w:hAnsi="Calibri" w:eastAsia="Times New Roman" w:cs="Times New Roman"/>
          <w:b/>
          <w:sz w:val="21"/>
        </w:rPr>
        <w:t>But the mode is not the optimum (review §3.3, 2026-09-29)</w:t>
      </w:r>
      <w:r>
        <w:rPr>
          <w:rFonts w:ascii="Calibri" w:hAnsi="Calibri" w:eastAsia="Times New Roman" w:cs="Times New Roman"/>
          <w:sz w:val="21"/>
        </w:rPr>
        <w:t xml:space="preserve">: the most common speed on a motorway is 100 km/h, which does not show that 100 km/h is the most fuel-efficient — only that people drive that way. This distribution is likewise the distribution of </w:t>
      </w:r>
      <w:r>
        <w:rPr>
          <w:rFonts w:ascii="Calibri" w:hAnsi="Calibri" w:eastAsia="Times New Roman" w:cs="Times New Roman"/>
          <w:b/>
          <w:sz w:val="21"/>
        </w:rPr>
        <w:t>experienced difficulty</w:t>
      </w:r>
      <w:r>
        <w:rPr>
          <w:rFonts w:ascii="Calibri" w:hAnsi="Calibri" w:eastAsia="Times New Roman" w:cs="Times New Roman"/>
          <w:sz w:val="21"/>
        </w:rPr>
        <w:t xml:space="preserve"> jointly produced by the ASSISTments item-allocation policy and student ability. Moreover the first rank (0.25; 30,899 windows) and the second (0.20; 30,061 windows) differ by only </w:t>
      </w:r>
      <w:r>
        <w:rPr>
          <w:rFonts w:ascii="Calibri" w:hAnsi="Calibri" w:eastAsia="Times New Roman" w:cs="Times New Roman"/>
          <w:b/>
          <w:sz w:val="21"/>
        </w:rPr>
        <w:t>838 windows, 0.29% of the total</w:t>
      </w:r>
      <w:r>
        <w:rPr>
          <w:rFonts w:ascii="Calibri" w:hAnsi="Calibri" w:eastAsia="Times New Roman" w:cs="Times New Roman"/>
          <w:sz w:val="21"/>
        </w:rPr>
        <w:t xml:space="preserve">; the five support points spanning error rates 0.15–0.35 (k = 3…7) carry </w:t>
      </w:r>
      <w:r>
        <w:rPr>
          <w:rFonts w:ascii="Calibri" w:hAnsi="Calibri" w:eastAsia="Times New Roman" w:cs="Times New Roman"/>
          <w:b/>
          <w:sz w:val="21"/>
        </w:rPr>
        <w:t>49.3%</w:t>
      </w:r>
      <w:r>
        <w:rPr>
          <w:rFonts w:ascii="Calibri" w:hAnsi="Calibri" w:eastAsia="Times New Roman" w:cs="Times New Roman"/>
          <w:sz w:val="21"/>
        </w:rPr>
        <w:t xml:space="preserve"> of all windows almost flatly (26,151 + 30,061 + 30,899 + 28,518 + 25,435 = 141,064 / 286,150). </w:t>
      </w:r>
      <w:r>
        <w:rPr>
          <w:rFonts w:ascii="Calibri" w:hAnsi="Calibri" w:eastAsia="Times New Roman" w:cs="Times New Roman"/>
          <w:b/>
          <w:sz w:val="21"/>
        </w:rPr>
        <w:t>This paper therefore reports the shape of the distribution (its flatness over that interval) rather than the position of the mode</w:t>
      </w:r>
      <w:r>
        <w:rPr>
          <w:rFonts w:ascii="Calibri" w:hAnsi="Calibri" w:eastAsia="Times New Roman" w:cs="Times New Roman"/>
          <w:sz w:val="21"/>
        </w:rPr>
        <w:t xml:space="preserve">, and states explicitly that this distribution </w:t>
      </w:r>
      <w:r>
        <w:rPr>
          <w:rFonts w:ascii="Calibri" w:hAnsi="Calibri" w:eastAsia="Times New Roman" w:cs="Times New Roman"/>
          <w:b/>
          <w:sz w:val="21"/>
        </w:rPr>
        <w:t>constitutes no test of any optimal error rate</w:t>
      </w:r>
      <w:r>
        <w:rPr>
          <w:rFonts w:ascii="Calibri" w:hAnsi="Calibri" w:eastAsia="Times New Roman" w:cs="Times New Roman"/>
          <w:sz w:val="21"/>
        </w:rPr>
        <w:t xml:space="preserve">. The sentence previously written here — that this distribution does not support the claim that the measured mode falls in the 80–85% band — </w:t>
      </w:r>
      <w:r>
        <w:rPr>
          <w:rFonts w:ascii="Calibri" w:hAnsi="Calibri" w:eastAsia="Times New Roman" w:cs="Times New Roman"/>
          <w:b/>
          <w:sz w:val="21"/>
        </w:rPr>
        <w:t>has been deleted</w:t>
      </w:r>
      <w:r>
        <w:rPr>
          <w:rFonts w:ascii="Calibri" w:hAnsi="Calibri" w:eastAsia="Times New Roman" w:cs="Times New Roman"/>
          <w:sz w:val="21"/>
        </w:rPr>
        <w:t>.</w:t>
      </w:r>
    </w:p>
    <w:p>
      <w:pPr>
        <w:spacing w:after="120"/>
      </w:pPr>
      <w:r>
        <w:rPr>
          <w:rFonts w:ascii="Calibri" w:hAnsi="Calibri" w:eastAsia="Times New Roman" w:cs="Times New Roman"/>
          <w:sz w:val="21"/>
        </w:rPr>
        <w:t xml:space="preserve">What it does not show is more important: under a discrete distribution the "mode" has no comparable interval width, and the gap between 84.13% and 80.7% is only about 3.4 percentage points—smaller than the support-point interval (5 percentage points) times one, so this evidence </w:t>
      </w:r>
      <w:r>
        <w:rPr>
          <w:rFonts w:ascii="Calibri" w:hAnsi="Calibri" w:eastAsia="Times New Roman" w:cs="Times New Roman"/>
          <w:b/>
          <w:sz w:val="21"/>
        </w:rPr>
        <w:t>cannot discriminate between these two candidate optima</w:t>
      </w:r>
      <w:r>
        <w:rPr>
          <w:rFonts w:ascii="Calibri" w:hAnsi="Calibri" w:eastAsia="Times New Roman" w:cs="Times New Roman"/>
          <w:sz w:val="21"/>
        </w:rPr>
        <w:t>. Any statement "this paper supports the 85% rule" or "this paper supports 80.7%" exceeds the information this distribution can bear. Moreover, the sliding-window error rate is the joint product of system allocation and student response, not an intervention on the dose, so it is not even a "descriptive dose–response," merely a "descriptive exposure distribution."</w:t>
      </w:r>
    </w:p>
    <w:p>
      <w:pPr>
        <w:spacing w:after="120"/>
      </w:pPr>
      <w:r>
        <w:rPr>
          <w:rFonts w:ascii="Calibri" w:hAnsi="Calibri" w:eastAsia="Times New Roman" w:cs="Times New Roman"/>
          <w:b/>
          <w:sz w:val="21"/>
        </w:rPr>
        <w:t>On the testability of the RQ2 decision rule — the decision rule is abolished (review §3.3, 2026-09-29).</w:t>
      </w:r>
      <w:r>
        <w:rPr>
          <w:rFonts w:ascii="Calibri" w:hAnsi="Calibri" w:eastAsia="Times New Roman" w:cs="Times New Roman"/>
          <w:sz w:val="21"/>
        </w:rPr>
        <w:t xml:space="preserve"> An earlier version wrote RQ2's falsification condition as "if the sliding-window error-rate mode significantly deviates from [0.15, 0.20], then falsify." Under the discrete-support-point caliber this condition </w:t>
      </w:r>
      <w:r>
        <w:rPr>
          <w:rFonts w:ascii="Calibri" w:hAnsi="Calibri" w:eastAsia="Times New Roman" w:cs="Times New Roman"/>
          <w:b/>
          <w:sz w:val="21"/>
        </w:rPr>
        <w:t>cannot be tested as is</w:t>
      </w:r>
      <w:r>
        <w:rPr>
          <w:rFonts w:ascii="Calibri" w:hAnsi="Calibri" w:eastAsia="Times New Roman" w:cs="Times New Roman"/>
          <w:sz w:val="21"/>
        </w:rPr>
        <w:t xml:space="preserve">: the single-value mode is 0.25, already outside the interval, but "significant deviation" requires a distributional quantity (confidence interval). This paper's approach is to </w:t>
      </w:r>
      <w:r>
        <w:rPr>
          <w:rFonts w:ascii="Calibri" w:hAnsi="Calibri" w:eastAsia="Times New Roman" w:cs="Times New Roman"/>
          <w:b/>
          <w:sz w:val="21"/>
        </w:rPr>
        <w:t>bootstrap the discrete distribution by student resampling and define the uncertainty by the resample distribution of the mode support point</w:t>
      </w:r>
      <w:r>
        <w:rPr>
          <w:rFonts w:ascii="Calibri" w:hAnsi="Calibri" w:eastAsia="Times New Roman" w:cs="Times New Roman"/>
          <w:sz w:val="21"/>
        </w:rPr>
        <w:t xml:space="preserve"> (the 95% set is given in Table 8-1 above). With current evidence (2,000 resamples), the mode support point is k = 5 in 94.1% of resamples but the 95% set is {0.25, 0.20}; the honest statement is therefore that "mode = 0.25" is the modal support point </w:t>
      </w:r>
      <w:r>
        <w:rPr>
          <w:rFonts w:ascii="Calibri" w:hAnsi="Calibri" w:eastAsia="Times New Roman" w:cs="Times New Roman"/>
          <w:b/>
          <w:sz w:val="21"/>
        </w:rPr>
        <w:t>without being unique at the 95% threshold</w:t>
      </w:r>
      <w:r>
        <w:rPr>
          <w:rFonts w:ascii="Calibri" w:hAnsi="Calibri" w:eastAsia="Times New Roman" w:cs="Times New Roman"/>
          <w:sz w:val="21"/>
        </w:rPr>
        <w:t xml:space="preserve">. The statement "the mode falls in the 80–85% band" </w:t>
      </w:r>
      <w:r>
        <w:rPr>
          <w:rFonts w:ascii="Calibri" w:hAnsi="Calibri" w:eastAsia="Times New Roman" w:cs="Times New Roman"/>
          <w:b/>
          <w:sz w:val="21"/>
        </w:rPr>
        <w:t>is falsified</w:t>
      </w:r>
      <w:r>
        <w:rPr>
          <w:rFonts w:ascii="Calibri" w:hAnsi="Calibri" w:eastAsia="Times New Roman" w:cs="Times New Roman"/>
          <w:sz w:val="21"/>
        </w:rPr>
        <w:t xml:space="preserve">, and that falsification does not depend on the uniqueness question. The causal-side proposition of RQ2 (whether the optimal error rate on real learners equals 15.87%) was executed on 2026-09-24 under a frozen identification strategy: no internal optimum detected, and the Junyi time-inverted negative control significant, downgrading to associational evidence (see §8.3), so that proposition still receives no causal-grade answer. </w:t>
      </w:r>
      <w:r>
        <w:rPr>
          <w:rFonts w:ascii="Calibri" w:hAnsi="Calibri" w:eastAsia="Times New Roman" w:cs="Times New Roman"/>
          <w:b/>
          <w:sz w:val="21"/>
        </w:rPr>
        <w:t>Abolition of the RQ2 decision rule, and the reporting caliber of this section (review §3.3, 2026-09-29).</w:t>
      </w:r>
      <w:r>
        <w:rPr>
          <w:rFonts w:ascii="Calibri" w:hAnsi="Calibri" w:eastAsia="Times New Roman" w:cs="Times New Roman"/>
          <w:sz w:val="21"/>
        </w:rPr>
        <w:t xml:space="preserve"> An earlier version wrote RQ2's falsification condition as: if the sliding-window error-rate mode significantly deviates from [0.15, 0.20], then falsify; and the proposal (§3.2) wrote it as: if the confidence set excludes 0.1587 and 0.193, neither candidate is supported. </w:t>
      </w:r>
      <w:r>
        <w:rPr>
          <w:rFonts w:ascii="Calibri" w:hAnsi="Calibri" w:eastAsia="Times New Roman" w:cs="Times New Roman"/>
          <w:b/>
          <w:sz w:val="21"/>
        </w:rPr>
        <w:t>Both decision rules are abolished</w:t>
      </w:r>
      <w:r>
        <w:rPr>
          <w:rFonts w:ascii="Calibri" w:hAnsi="Calibri" w:eastAsia="Times New Roman" w:cs="Times New Roman"/>
          <w:sz w:val="21"/>
        </w:rPr>
        <w:t xml:space="preserve">: the support points are only multiples of 0.05 (k/20), and 0.1587 and 0.193 </w:t>
      </w:r>
      <w:r>
        <w:rPr>
          <w:rFonts w:ascii="Calibri" w:hAnsi="Calibri" w:eastAsia="Times New Roman" w:cs="Times New Roman"/>
          <w:b/>
          <w:sz w:val="21"/>
        </w:rPr>
        <w:t>could never have entered</w:t>
      </w:r>
      <w:r>
        <w:rPr>
          <w:rFonts w:ascii="Calibri" w:hAnsi="Calibri" w:eastAsia="Times New Roman" w:cs="Times New Roman"/>
          <w:sz w:val="21"/>
        </w:rPr>
        <w:t xml:space="preserve"> any confidence set built from support points, so the rule returns refuted regardless of the data — it tests the discreteness of the support grid, not the optimal error rate. More fundamentally, the mode is not the optimum (see the motorway-speed analogy above), so </w:t>
      </w:r>
      <w:r>
        <w:rPr>
          <w:rFonts w:ascii="Calibri" w:hAnsi="Calibri" w:eastAsia="Times New Roman" w:cs="Times New Roman"/>
          <w:b/>
          <w:sz w:val="21"/>
        </w:rPr>
        <w:t>nothing about the 85% rule or about 80.7% follows from the fact that the mode is 0.25</w:t>
      </w:r>
      <w:r>
        <w:rPr>
          <w:rFonts w:ascii="Calibri" w:hAnsi="Calibri" w:eastAsia="Times New Roman" w:cs="Times New Roman"/>
          <w:sz w:val="21"/>
        </w:rPr>
        <w:t xml:space="preserve">. Accordingly this section is repositioned as: </w:t>
      </w:r>
      <w:r>
        <w:rPr>
          <w:rFonts w:ascii="Calibri" w:hAnsi="Calibri" w:eastAsia="Times New Roman" w:cs="Times New Roman"/>
          <w:b/>
          <w:sz w:val="21"/>
        </w:rPr>
        <w:t>the sliding-window error-rate distribution is descriptive statistics of experienced difficulty, not a test of an optimal value</w:t>
      </w:r>
      <w:r>
        <w:rPr>
          <w:rFonts w:ascii="Calibri" w:hAnsi="Calibri" w:eastAsia="Times New Roman" w:cs="Times New Roman"/>
          <w:sz w:val="21"/>
        </w:rPr>
        <w:t xml:space="preserve">. This section reports the distribution shape (near-flat over 0.15–0.35: 141,064 windows, 49.3%; the first two ranks differ by only 838 windows, 0.29%) and the resampling stability of the mode — </w:t>
      </w:r>
      <w:r>
        <w:rPr>
          <w:rFonts w:ascii="Calibri" w:hAnsi="Calibri" w:eastAsia="Times New Roman" w:cs="Times New Roman"/>
          <w:b/>
          <w:sz w:val="21"/>
        </w:rPr>
        <w:t>2,000</w:t>
      </w:r>
      <w:r>
        <w:rPr>
          <w:rFonts w:ascii="Calibri" w:hAnsi="Calibri" w:eastAsia="Times New Roman" w:cs="Times New Roman"/>
          <w:sz w:val="21"/>
        </w:rPr>
        <w:t xml:space="preserve"> student-level resamples on the assist09 source data (seed 20260922, rerun 2026-10-04) give k = 5 in 94.1% and k = 4 in 5.95%, i.e. a 95% set of </w:t>
      </w:r>
      <w:r>
        <w:rPr>
          <w:rFonts w:ascii="Calibri" w:hAnsi="Calibri" w:eastAsia="Times New Roman" w:cs="Times New Roman"/>
          <w:b/>
          <w:sz w:val="21"/>
        </w:rPr>
        <w:t>{0.25, 0.20}</w:t>
      </w:r>
      <w:r>
        <w:rPr>
          <w:rFonts w:ascii="Calibri" w:hAnsi="Calibri" w:eastAsia="Times New Roman" w:cs="Times New Roman"/>
          <w:sz w:val="21"/>
        </w:rPr>
        <w:t xml:space="preserve"> with Monte Carlo standard error ≈ 0.5 percentage points — </w:t>
      </w:r>
      <w:r>
        <w:rPr>
          <w:rFonts w:ascii="Calibri" w:hAnsi="Calibri" w:eastAsia="Times New Roman" w:cs="Times New Roman"/>
          <w:b/>
          <w:sz w:val="21"/>
        </w:rPr>
        <w:t>but no longer judges any candidate optimum on that basis</w:t>
      </w:r>
      <w:r>
        <w:rPr>
          <w:rFonts w:ascii="Calibri" w:hAnsi="Calibri" w:eastAsia="Times New Roman" w:cs="Times New Roman"/>
          <w:sz w:val="21"/>
        </w:rPr>
        <w:t xml:space="preserve">. Raising the bootstrap from 200 to 2,000 per review §3.3 </w:t>
      </w:r>
      <w:r>
        <w:rPr>
          <w:rFonts w:ascii="Calibri" w:hAnsi="Calibri" w:eastAsia="Times New Roman" w:cs="Times New Roman"/>
          <w:b/>
          <w:sz w:val="21"/>
        </w:rPr>
        <w:t>removed the uniqueness of the mode at the 95% threshold</w:t>
      </w:r>
      <w:r>
        <w:rPr>
          <w:rFonts w:ascii="Calibri" w:hAnsi="Calibri" w:eastAsia="Times New Roman" w:cs="Times New Roman"/>
          <w:sz w:val="21"/>
        </w:rPr>
        <w:t xml:space="preserve">: the superseded 200-resample record put k = 5 at 95.5% (SE ≈ 1.5 pp), just above the line, whereas 2,000 resamples place it at 94.1%, below it. This is exactly why §3.3 asked for the distribution shape rather than the mode: the shape conclusion (a near-flat plateau over 0.15–0.35) survives the increase, the mode conclusion does not. It is also noted that Wilson et al.'s optimal error rate under Cauchy noise happens also to be 0.25; </w:t>
      </w:r>
      <w:r>
        <w:rPr>
          <w:rFonts w:ascii="Calibri" w:hAnsi="Calibri" w:eastAsia="Times New Roman" w:cs="Times New Roman"/>
          <w:b/>
          <w:sz w:val="21"/>
        </w:rPr>
        <w:t>this paper claims nothing from that coincidence.</w:t>
      </w:r>
    </w:p>
    <w:p>
      <w:pPr>
        <w:pStyle w:val="Heading2"/>
        <w:spacing w:before="120" w:after="80"/>
      </w:pPr>
      <w:r>
        <w:rPr>
          <w:rFonts w:ascii="Calibri" w:hAnsi="Calibri" w:eastAsia="Times New Roman" w:cs="Times New Roman"/>
          <w:sz w:val="27"/>
        </w:rPr>
        <w:t>8.3 The causal side — removed from this paper (review §2.2, 2026-09-29)</w:t>
      </w:r>
    </w:p>
    <w:p>
      <w:pPr>
        <w:spacing w:before="40" w:after="40"/>
        <w:ind w:left="360"/>
        <w:pBdr>
          <w:left w:val="single" w:sz="12" w:space="6" w:color="888888"/>
        </w:pBdr>
      </w:pPr>
      <w:r>
        <w:rPr>
          <w:rFonts w:ascii="Calibri" w:hAnsi="Calibri" w:eastAsia="Times New Roman" w:cs="Times New Roman"/>
          <w:b/>
          <w:i/>
          <w:color w:val="555555"/>
          <w:sz w:val="19"/>
        </w:rPr>
        <w:t>Removal statement.</w:t>
      </w:r>
      <w:r>
        <w:rPr>
          <w:rFonts w:ascii="Calibri" w:hAnsi="Calibri" w:eastAsia="Times New Roman" w:cs="Times New Roman"/>
          <w:i/>
          <w:color w:val="555555"/>
          <w:sz w:val="19"/>
        </w:rPr>
        <w:t xml:space="preserve"> Per review §2.2, the causal side (former §2.5, this section, and the H4/H5 rows of §8.4) </w:t>
      </w:r>
      <w:r>
        <w:rPr>
          <w:rFonts w:ascii="Calibri" w:hAnsi="Calibri" w:eastAsia="Times New Roman" w:cs="Times New Roman"/>
          <w:b/>
          <w:i/>
          <w:color w:val="555555"/>
          <w:sz w:val="19"/>
        </w:rPr>
        <w:t>has been removed from M1</w:t>
      </w:r>
      <w:r>
        <w:rPr>
          <w:rFonts w:ascii="Calibri" w:hAnsi="Calibri" w:eastAsia="Times New Roman" w:cs="Times New Roman"/>
          <w:i/>
          <w:color w:val="555555"/>
          <w:sz w:val="19"/>
        </w:rPr>
        <w:t xml:space="preserve"> and transferred to the fourth paper, i.e. row 4 of the table in §7.1 of the dissertation proposal. This section no longer carries any causal claim about the optimal error rate, and no longer reports a dose–response curve, the shape of μ(d), an internal optimum location, or positive/negative-control readings.</w:t>
      </w:r>
    </w:p>
    <w:p>
      <w:pPr>
        <w:spacing w:after="120"/>
      </w:pPr>
      <w:r>
        <w:rPr>
          <w:rFonts w:ascii="Calibri" w:hAnsi="Calibri" w:eastAsia="Times New Roman" w:cs="Times New Roman"/>
          <w:b/>
          <w:sz w:val="21"/>
        </w:rPr>
        <w:t>The only retained conclusion of the version-1 execution (one paragraph):</w:t>
      </w:r>
    </w:p>
    <w:p>
      <w:pPr>
        <w:spacing w:before="40" w:after="40"/>
        <w:ind w:left="360"/>
        <w:pBdr>
          <w:left w:val="single" w:sz="12" w:space="6" w:color="888888"/>
        </w:pBdr>
      </w:pPr>
      <w:r>
        <w:rPr>
          <w:rFonts w:ascii="Calibri" w:hAnsi="Calibri" w:eastAsia="Times New Roman" w:cs="Times New Roman"/>
          <w:i/>
          <w:color w:val="555555"/>
          <w:sz w:val="19"/>
        </w:rPr>
        <w:t xml:space="preserve">The preregistered AIPW/DR dose–response analysis was executed on 2026-09-24 on three public logs (assist09, Junyi, DBE-KT22; </w:t>
      </w:r>
      <w:r>
        <w:rPr>
          <w:rFonts w:ascii="Consolas" w:hAnsi="Consolas" w:eastAsia="Times New Roman" w:cs="Times New Roman"/>
          <w:i/>
          <w:color w:val="555555"/>
          <w:sz w:val="19"/>
        </w:rPr>
        <w:t>results/m1/aipw/aipw_results.json</w:t>
      </w:r>
      <w:r>
        <w:rPr>
          <w:rFonts w:ascii="Calibri" w:hAnsi="Calibri" w:eastAsia="Times New Roman" w:cs="Times New Roman"/>
          <w:i/>
          <w:color w:val="555555"/>
          <w:sz w:val="19"/>
        </w:rPr>
        <w:t xml:space="preserve">). That execution </w:t>
      </w:r>
      <w:r>
        <w:rPr>
          <w:rFonts w:ascii="Calibri" w:hAnsi="Calibri" w:eastAsia="Times New Roman" w:cs="Times New Roman"/>
          <w:b/>
          <w:i/>
          <w:color w:val="555555"/>
          <w:sz w:val="19"/>
        </w:rPr>
        <w:t>did not pass the positive-control criterion</w:t>
      </w:r>
      <w:r>
        <w:rPr>
          <w:rFonts w:ascii="Calibri" w:hAnsi="Calibri" w:eastAsia="Times New Roman" w:cs="Times New Roman"/>
          <w:i/>
          <w:color w:val="555555"/>
          <w:sz w:val="19"/>
        </w:rPr>
        <w:t xml:space="preserve">, and its </w:t>
      </w:r>
      <w:r>
        <w:rPr>
          <w:rFonts w:ascii="Calibri" w:hAnsi="Calibri" w:eastAsia="Times New Roman" w:cs="Times New Roman"/>
          <w:b/>
          <w:i/>
          <w:color w:val="555555"/>
          <w:sz w:val="19"/>
        </w:rPr>
        <w:t>implementation differs from the frozen identification strategy (LF-CIS-2026-09-22)</w:t>
      </w:r>
      <w:r>
        <w:rPr>
          <w:rFonts w:ascii="Calibri" w:hAnsi="Calibri" w:eastAsia="Times New Roman" w:cs="Times New Roman"/>
          <w:i/>
          <w:color w:val="555555"/>
          <w:sz w:val="19"/>
        </w:rPr>
        <w:t xml:space="preserve">; its results are therefore </w:t>
      </w:r>
      <w:r>
        <w:rPr>
          <w:rFonts w:ascii="Calibri" w:hAnsi="Calibri" w:eastAsia="Times New Roman" w:cs="Times New Roman"/>
          <w:b/>
          <w:i/>
          <w:color w:val="555555"/>
          <w:sz w:val="19"/>
        </w:rPr>
        <w:t>not interpretable</w:t>
      </w:r>
      <w:r>
        <w:rPr>
          <w:rFonts w:ascii="Calibri" w:hAnsi="Calibri" w:eastAsia="Times New Roman" w:cs="Times New Roman"/>
          <w:i/>
          <w:color w:val="555555"/>
          <w:sz w:val="19"/>
        </w:rPr>
        <w:t>, and this paper makes no confirmatory reading of them.</w:t>
      </w:r>
    </w:p>
    <w:p>
      <w:pPr>
        <w:spacing w:after="120"/>
      </w:pPr>
      <w:r>
        <w:rPr>
          <w:rFonts w:ascii="Calibri" w:hAnsi="Calibri" w:eastAsia="Times New Roman" w:cs="Times New Roman"/>
          <w:sz w:val="21"/>
        </w:rPr>
        <w:t>The three grounds for that judgement, item by item, follow review §2.2:</w:t>
      </w:r>
    </w:p>
    <w:p>
      <w:pPr>
        <w:pStyle w:val="ListNumber"/>
        <w:spacing w:after="40"/>
      </w:pPr>
      <w:r>
        <w:rPr>
          <w:rFonts w:ascii="Calibri" w:hAnsi="Calibri" w:eastAsia="Times New Roman" w:cs="Times New Roman"/>
          <w:b/>
          <w:sz w:val="21"/>
        </w:rPr>
        <w:t>The positive control did not pass the frozen rule.</w:t>
      </w:r>
      <w:r>
        <w:rPr>
          <w:rFonts w:ascii="Calibri" w:hAnsi="Calibri" w:eastAsia="Times New Roman" w:cs="Times New Roman"/>
          <w:sz w:val="21"/>
        </w:rPr>
        <w:t xml:space="preserve"> §6.1 of the frozen document requires that the all-correct (error rate 0) and all-incorrect brackets be "significantly slower; if not significant, the estimator has no detection capability on this data and the negative result of the main analysis is not interpretable." Under the executing script's criterion (bootstrap probability that k = 0 and k = 20 are slower than k = 10, both &gt; 0.95), the measured values are assist09 0.000 / 0.63, DBE 0.312 / 0.646, Junyi 0.002 / 1.000 — </w:t>
      </w:r>
      <w:r>
        <w:rPr>
          <w:rFonts w:ascii="Calibri" w:hAnsi="Calibri" w:eastAsia="Times New Roman" w:cs="Times New Roman"/>
          <w:b/>
          <w:sz w:val="21"/>
        </w:rPr>
        <w:t>none of the three datasets passed</w:t>
      </w:r>
      <w:r>
        <w:rPr>
          <w:rFonts w:ascii="Calibri" w:hAnsi="Calibri" w:eastAsia="Times New Roman" w:cs="Times New Roman"/>
          <w:sz w:val="21"/>
        </w:rPr>
        <w:t xml:space="preserve">. An earlier version of this paper wrote that "the estimator itself has detection capability (p = 0.002 and p = 1.000)": the 0.002 is in the direction </w:t>
      </w:r>
      <w:r>
        <w:rPr>
          <w:rFonts w:ascii="Calibri" w:hAnsi="Calibri" w:eastAsia="Times New Roman" w:cs="Times New Roman"/>
          <w:b/>
          <w:sz w:val="21"/>
        </w:rPr>
        <w:t>opposite</w:t>
      </w:r>
      <w:r>
        <w:rPr>
          <w:rFonts w:ascii="Calibri" w:hAnsi="Calibri" w:eastAsia="Times New Roman" w:cs="Times New Roman"/>
          <w:sz w:val="21"/>
        </w:rPr>
        <w:t xml:space="preserve"> to the prediction, and 1.000 is a bootstrap proportion, not a p-value — that reading contradicts the frozen rule and </w:t>
      </w:r>
      <w:r>
        <w:rPr>
          <w:rFonts w:ascii="Calibri" w:hAnsi="Calibri" w:eastAsia="Times New Roman" w:cs="Times New Roman"/>
          <w:b/>
          <w:sz w:val="21"/>
        </w:rPr>
        <w:t>has been deleted</w:t>
      </w:r>
      <w:r>
        <w:rPr>
          <w:rFonts w:ascii="Calibri" w:hAnsi="Calibri" w:eastAsia="Times New Roman" w:cs="Times New Roman"/>
          <w:sz w:val="21"/>
        </w:rPr>
        <w:t>. There is also a more fundamental problem: this "positive control" presupposes the very U-shaped hypothesis under test, so it is not a control with a known effect and could not have served as a positive control from the outset.</w:t>
      </w:r>
    </w:p>
    <w:p>
      <w:pPr>
        <w:pStyle w:val="ListNumber"/>
        <w:spacing w:after="40"/>
      </w:pPr>
      <w:r>
        <w:rPr>
          <w:rFonts w:ascii="Calibri" w:hAnsi="Calibri" w:eastAsia="Times New Roman" w:cs="Times New Roman"/>
          <w:b/>
          <w:sz w:val="21"/>
        </w:rPr>
        <w:t>Identification does not hold.</w:t>
      </w:r>
      <w:r>
        <w:rPr>
          <w:rFonts w:ascii="Calibri" w:hAnsi="Calibri" w:eastAsia="Times New Roman" w:cs="Times New Roman"/>
          <w:sz w:val="21"/>
        </w:rPr>
        <w:t xml:space="preserve"> The variation of the treatment (number of errors in the first 20 items) mixes learner ability, the system's item selection, learning progress and randomness; the outcome (number of steps to the first three consecutive correct responses within the next 20 items) reads the ability and progress of the </w:t>
      </w:r>
      <w:r>
        <w:rPr>
          <w:rFonts w:ascii="Calibri" w:hAnsi="Calibri" w:eastAsia="Times New Roman" w:cs="Times New Roman"/>
          <w:b/>
          <w:sz w:val="21"/>
        </w:rPr>
        <w:t>same learner on the same knowledge point</w:t>
      </w:r>
      <w:r>
        <w:rPr>
          <w:rFonts w:ascii="Calibri" w:hAnsi="Calibri" w:eastAsia="Times New Roman" w:cs="Times New Roman"/>
          <w:sz w:val="21"/>
        </w:rPr>
        <w:t>. As long as ability is persistent, the monotone shape "learners who erred more earlier are also slower later" arises mechanically. The significance of the time-inverted negative control is consistent with this explanation.</w:t>
      </w:r>
    </w:p>
    <w:p>
      <w:pPr>
        <w:pStyle w:val="ListNumber"/>
        <w:spacing w:after="40"/>
      </w:pPr>
      <w:r>
        <w:rPr>
          <w:rFonts w:ascii="Calibri" w:hAnsi="Calibri" w:eastAsia="Times New Roman" w:cs="Times New Roman"/>
          <w:b/>
          <w:sz w:val="21"/>
        </w:rPr>
        <w:t>The implementation differs from the frozen document.</w:t>
      </w:r>
      <w:r>
        <w:rPr>
          <w:rFonts w:ascii="Calibri" w:hAnsi="Calibri" w:eastAsia="Times New Roman" w:cs="Times New Roman"/>
          <w:sz w:val="21"/>
        </w:rPr>
        <w:t xml:space="preserve"> (i) Ability confounding: the document specifies "IRT-1PL θ̂ fitted from responses prior to the treatment window," whereas the code uses the logit of the empirical accuracy over the first half of the responses prior to the treatment window; item difficulty: the document specifies expert labels or IRT difficulty, whereas the code uses the mean learner self-reported difficulty on DBE and the knowledge-point global accuracy on assist09. (ii) In the time-inverted negative control, the code sets the "pre-treatment" window to the same interval as the outcome window (</w:t>
      </w:r>
      <w:r>
        <w:rPr>
          <w:rFonts w:ascii="Consolas" w:hAnsi="Consolas" w:eastAsia="Times New Roman" w:cs="Times New Roman"/>
          <w:sz w:val="21"/>
        </w:rPr>
        <w:t>seq[0:20]</w:t>
      </w:r>
      <w:r>
        <w:rPr>
          <w:rFonts w:ascii="Calibri" w:hAnsi="Calibri" w:eastAsia="Times New Roman" w:cs="Times New Roman"/>
          <w:sz w:val="21"/>
        </w:rPr>
        <w:t xml:space="preserve">) and computes θ̂ from that interval, so the outcome variable enters the confounding adjustment and this control's result cannot be read at face value either. (iii) </w:t>
      </w:r>
      <w:r>
        <w:rPr>
          <w:rFonts w:ascii="Calibri" w:hAnsi="Calibri" w:eastAsia="Times New Roman" w:cs="Times New Roman"/>
          <w:b/>
          <w:sz w:val="21"/>
        </w:rPr>
        <w:t>The former W = 10/40 "window-width robustness" did not change the window width</w:t>
      </w:r>
      <w:r>
        <w:rPr>
          <w:rFonts w:ascii="Calibri" w:hAnsi="Calibri" w:eastAsia="Times New Roman" w:cs="Times New Roman"/>
          <w:sz w:val="21"/>
        </w:rPr>
        <w:t xml:space="preserve"> — the code that extracts the treatment window, </w:t>
      </w:r>
      <w:r>
        <w:rPr>
          <w:rFonts w:ascii="Consolas" w:hAnsi="Consolas" w:eastAsia="Times New Roman" w:cs="Times New Roman"/>
          <w:sz w:val="21"/>
        </w:rPr>
        <w:t>seq[e-19:e+1]</w:t>
      </w:r>
      <w:r>
        <w:rPr>
          <w:rFonts w:ascii="Calibri" w:hAnsi="Calibri" w:eastAsia="Times New Roman" w:cs="Times New Roman"/>
          <w:sz w:val="21"/>
        </w:rPr>
        <w:t xml:space="preserve">, is fixed at 20 items; only the number of dose brackets changed. That statement </w:t>
      </w:r>
      <w:r>
        <w:rPr>
          <w:rFonts w:ascii="Calibri" w:hAnsi="Calibri" w:eastAsia="Times New Roman" w:cs="Times New Roman"/>
          <w:b/>
          <w:sz w:val="21"/>
        </w:rPr>
        <w:t>has been deleted</w:t>
      </w:r>
      <w:r>
        <w:rPr>
          <w:rFonts w:ascii="Calibri" w:hAnsi="Calibri" w:eastAsia="Times New Roman" w:cs="Times New Roman"/>
          <w:sz w:val="21"/>
        </w:rPr>
        <w:t>.</w:t>
      </w:r>
    </w:p>
    <w:p>
      <w:pPr>
        <w:spacing w:after="120"/>
      </w:pPr>
      <w:r>
        <w:rPr>
          <w:rFonts w:ascii="Calibri" w:hAnsi="Calibri" w:eastAsia="Times New Roman" w:cs="Times New Roman"/>
          <w:b/>
          <w:sz w:val="21"/>
        </w:rPr>
        <w:t>Follow-up.</w:t>
      </w:r>
      <w:r>
        <w:rPr>
          <w:rFonts w:ascii="Calibri" w:hAnsi="Calibri" w:eastAsia="Times New Roman" w:cs="Times New Roman"/>
          <w:sz w:val="21"/>
        </w:rPr>
        <w:t xml:space="preserve"> Version 2 of the identification strategy must be submitted </w:t>
      </w:r>
      <w:r>
        <w:rPr>
          <w:rFonts w:ascii="Calibri" w:hAnsi="Calibri" w:eastAsia="Times New Roman" w:cs="Times New Roman"/>
          <w:b/>
          <w:sz w:val="21"/>
        </w:rPr>
        <w:t>before execution</w:t>
      </w:r>
      <w:r>
        <w:rPr>
          <w:rFonts w:ascii="Calibri" w:hAnsi="Calibri" w:eastAsia="Times New Roman" w:cs="Times New Roman"/>
          <w:sz w:val="21"/>
        </w:rPr>
        <w:t xml:space="preserve"> and tagged (the executing script reads that tag and writes its hash into the results JSON); where the implementation differs from the document, the document must be amended and resubmitted first. Version 2 must state where the variation of the treatment variable comes from, and on what basis that variation is taken to be independent of the outcome. </w:t>
      </w:r>
      <w:r>
        <w:rPr>
          <w:rFonts w:ascii="Calibri" w:hAnsi="Calibri" w:eastAsia="Times New Roman" w:cs="Times New Roman"/>
          <w:b/>
          <w:sz w:val="21"/>
        </w:rPr>
        <w:t>If no basis for identification can be established on observational logs, the work moves to the randomised-assignment experiment</w:t>
      </w:r>
      <w:r>
        <w:rPr>
          <w:rFonts w:ascii="Calibri" w:hAnsi="Calibri" w:eastAsia="Times New Roman" w:cs="Times New Roman"/>
          <w:sz w:val="21"/>
        </w:rPr>
        <w:t xml:space="preserve"> (the design in §11 of the proposal). The 10 October interview must bring the original </w:t>
      </w:r>
      <w:r>
        <w:rPr>
          <w:rFonts w:ascii="Consolas" w:hAnsi="Consolas" w:eastAsia="Times New Roman" w:cs="Times New Roman"/>
          <w:sz w:val="21"/>
        </w:rPr>
        <w:t>aipw_audit.log</w:t>
      </w:r>
      <w:r>
        <w:rPr>
          <w:rFonts w:ascii="Calibri" w:hAnsi="Calibri" w:eastAsia="Times New Roman" w:cs="Times New Roman"/>
          <w:sz w:val="21"/>
        </w:rPr>
        <w:t xml:space="preserve"> and the filesystem timestamps of the frozen document, to show that freezing preceded execution.</w:t>
      </w:r>
    </w:p>
    <w:p>
      <w:pPr>
        <w:pStyle w:val="Heading2"/>
        <w:spacing w:before="120" w:after="80"/>
      </w:pPr>
      <w:r>
        <w:rPr>
          <w:rFonts w:ascii="Calibri" w:hAnsi="Calibri" w:eastAsia="Times New Roman" w:cs="Times New Roman"/>
          <w:sz w:val="27"/>
        </w:rPr>
        <w:t>8.4 Status of preregistered hypotheses</w:t>
      </w:r>
    </w:p>
    <w:p>
      <w:pPr>
        <w:spacing w:after="120"/>
      </w:pPr>
      <w:r>
        <w:rPr>
          <w:rFonts w:ascii="Calibri" w:hAnsi="Calibri" w:eastAsia="Times New Roman" w:cs="Times New Roman"/>
          <w:sz w:val="21"/>
        </w:rPr>
        <w:t>To help readers judge the relationship between this paper and the original design, the following table gives the fulfilment status of the seven hypotheses item by item:</w:t>
      </w:r>
    </w:p>
    <w:p>
      <w:pPr>
        <w:spacing w:after="120"/>
      </w:pPr>
      <w:r>
        <w:rPr>
          <w:rFonts w:ascii="Calibri" w:hAnsi="Calibri" w:eastAsia="Times New Roman" w:cs="Times New Roman"/>
          <w:b/>
          <w:sz w:val="21"/>
        </w:rPr>
        <w:t>Table 26. Status of preregistered hypotheses</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Times New Roman" w:cs="Times New Roman"/>
                <w:b/>
                <w:sz w:val="19"/>
              </w:rPr>
              <w:t>Hypothesis</w:t>
            </w:r>
          </w:p>
        </w:tc>
        <w:tc>
          <w:tcPr>
            <w:tcW w:type="dxa" w:w="4413"/>
            <w:shd w:val="clear" w:color="auto" w:fill="DDDDDD"/>
          </w:tcPr>
          <w:p>
            <w:r>
              <w:rPr>
                <w:b/>
              </w:rPr>
            </w:r>
            <w:r>
              <w:rPr>
                <w:rFonts w:ascii="Calibri" w:hAnsi="Calibri" w:eastAsia="Times New Roman" w:cs="Times New Roman"/>
                <w:b/>
                <w:sz w:val="19"/>
              </w:rPr>
              <w:t>Content</w:t>
            </w:r>
          </w:p>
        </w:tc>
        <w:tc>
          <w:tcPr>
            <w:tcW w:type="dxa" w:w="4413"/>
            <w:shd w:val="clear" w:color="auto" w:fill="DDDDDD"/>
          </w:tcPr>
          <w:p>
            <w:r>
              <w:rPr>
                <w:b/>
              </w:rPr>
            </w:r>
            <w:r>
              <w:rPr>
                <w:rFonts w:ascii="Calibri" w:hAnsi="Calibri" w:eastAsia="Times New Roman" w:cs="Times New Roman"/>
                <w:b/>
                <w:sz w:val="19"/>
              </w:rPr>
              <w:t>Status</w:t>
            </w:r>
          </w:p>
        </w:tc>
      </w:tr>
      <w:tr>
        <w:tc>
          <w:tcPr>
            <w:tcW w:type="dxa" w:w="4413"/>
          </w:tcPr>
          <w:p>
            <w:r/>
            <w:r>
              <w:rPr>
                <w:rFonts w:ascii="Calibri" w:hAnsi="Calibri" w:eastAsia="Times New Roman" w:cs="Times New Roman"/>
                <w:sz w:val="19"/>
              </w:rPr>
              <w:t>H1</w:t>
            </w:r>
          </w:p>
        </w:tc>
        <w:tc>
          <w:tcPr>
            <w:tcW w:type="dxa" w:w="4413"/>
          </w:tcPr>
          <w:p>
            <w:r/>
            <w:r>
              <w:rPr>
                <w:rFonts w:ascii="Calibri" w:hAnsi="Calibri" w:eastAsia="Times New Roman" w:cs="Times New Roman"/>
                <w:sz w:val="19"/>
              </w:rPr>
              <w:t>Linear fusion is unstable under monotone reparameterisation</w:t>
            </w:r>
          </w:p>
        </w:tc>
        <w:tc>
          <w:tcPr>
            <w:tcW w:type="dxa" w:w="4413"/>
          </w:tcPr>
          <w:p>
            <w:r/>
            <w:r>
              <w:rPr>
                <w:rFonts w:ascii="Calibri" w:hAnsi="Calibri" w:eastAsia="Times New Roman" w:cs="Times New Roman"/>
                <w:b/>
                <w:sz w:val="19"/>
              </w:rPr>
              <w:t>Tested and holds</w:t>
            </w:r>
            <w:r>
              <w:rPr>
                <w:rFonts w:ascii="Calibri" w:hAnsi="Calibri" w:eastAsia="Times New Roman" w:cs="Times New Roman"/>
                <w:sz w:val="19"/>
              </w:rPr>
              <w:t xml:space="preserve"> (§4 synthetic, §5.3 real)</w:t>
            </w:r>
          </w:p>
        </w:tc>
      </w:tr>
      <w:tr>
        <w:tc>
          <w:tcPr>
            <w:tcW w:type="dxa" w:w="4413"/>
          </w:tcPr>
          <w:p>
            <w:r/>
            <w:r>
              <w:rPr>
                <w:rFonts w:ascii="Calibri" w:hAnsi="Calibri" w:eastAsia="Times New Roman" w:cs="Times New Roman"/>
                <w:sz w:val="19"/>
              </w:rPr>
              <w:t>H2</w:t>
            </w:r>
          </w:p>
        </w:tc>
        <w:tc>
          <w:tcPr>
            <w:tcW w:type="dxa" w:w="4413"/>
          </w:tcPr>
          <w:p>
            <w:r/>
            <w:r>
              <w:rPr>
                <w:rFonts w:ascii="Calibri" w:hAnsi="Calibri" w:eastAsia="Times New Roman" w:cs="Times New Roman"/>
                <w:sz w:val="19"/>
              </w:rPr>
              <w:t>Unified scale improves calibration quality and target-hit rate</w:t>
            </w:r>
          </w:p>
        </w:tc>
        <w:tc>
          <w:tcPr>
            <w:tcW w:type="dxa" w:w="4413"/>
          </w:tcPr>
          <w:p>
            <w:r/>
            <w:r>
              <w:rPr>
                <w:rFonts w:ascii="Calibri" w:hAnsi="Calibri" w:eastAsia="Times New Roman" w:cs="Times New Roman"/>
                <w:b/>
                <w:sz w:val="19"/>
              </w:rPr>
              <w:t>Partially tested</w:t>
            </w:r>
            <w:r>
              <w:rPr>
                <w:rFonts w:ascii="Calibri" w:hAnsi="Calibri" w:eastAsia="Times New Roman" w:cs="Times New Roman"/>
                <w:sz w:val="19"/>
              </w:rPr>
              <w:t>: ECE / Brier / reliability diagram / 85% target-hit rate not computed; switched to comparing fusion schemes by expert-label consistency (§6), criterion changed</w:t>
            </w:r>
          </w:p>
        </w:tc>
      </w:tr>
      <w:tr>
        <w:tc>
          <w:tcPr>
            <w:tcW w:type="dxa" w:w="4413"/>
          </w:tcPr>
          <w:p>
            <w:r/>
            <w:r>
              <w:rPr>
                <w:rFonts w:ascii="Calibri" w:hAnsi="Calibri" w:eastAsia="Times New Roman" w:cs="Times New Roman"/>
                <w:sz w:val="19"/>
              </w:rPr>
              <w:t>H3</w:t>
            </w:r>
          </w:p>
        </w:tc>
        <w:tc>
          <w:tcPr>
            <w:tcW w:type="dxa" w:w="4413"/>
          </w:tcPr>
          <w:p>
            <w:r/>
            <w:r>
              <w:rPr>
                <w:rFonts w:ascii="Calibri" w:hAnsi="Calibri" w:eastAsia="Times New Roman" w:cs="Times New Roman"/>
                <w:sz w:val="19"/>
              </w:rPr>
              <w:t>Four-source calibration error has a stable ordering</w:t>
            </w:r>
          </w:p>
        </w:tc>
        <w:tc>
          <w:tcPr>
            <w:tcW w:type="dxa" w:w="4413"/>
          </w:tcPr>
          <w:p>
            <w:r/>
            <w:r>
              <w:rPr>
                <w:rFonts w:ascii="Calibri" w:hAnsi="Calibri" w:eastAsia="Times New Roman" w:cs="Times New Roman"/>
                <w:b/>
                <w:sz w:val="19"/>
              </w:rPr>
              <w:t>Not executed</w:t>
            </w:r>
            <w:r>
              <w:rPr>
                <w:rFonts w:ascii="Calibri" w:hAnsi="Calibri" w:eastAsia="Times New Roman" w:cs="Times New Roman"/>
                <w:sz w:val="19"/>
              </w:rPr>
              <w:t>: the real-data source set differs from the preregistered four sources, ECE not computed</w:t>
            </w:r>
          </w:p>
        </w:tc>
      </w:tr>
      <w:tr>
        <w:tc>
          <w:tcPr>
            <w:tcW w:type="dxa" w:w="4413"/>
          </w:tcPr>
          <w:p>
            <w:r/>
            <w:r>
              <w:rPr>
                <w:rFonts w:ascii="Calibri" w:hAnsi="Calibri" w:eastAsia="Times New Roman" w:cs="Times New Roman"/>
                <w:sz w:val="19"/>
              </w:rPr>
              <w:t>H4</w:t>
            </w:r>
          </w:p>
        </w:tc>
        <w:tc>
          <w:tcPr>
            <w:tcW w:type="dxa" w:w="4413"/>
          </w:tcPr>
          <w:p>
            <w:r/>
            <w:r>
              <w:rPr>
                <w:rFonts w:ascii="Calibri" w:hAnsi="Calibri" w:eastAsia="Times New Roman" w:cs="Times New Roman"/>
                <w:sz w:val="19"/>
              </w:rPr>
              <w:t>Optimal error rate significantly above 15.87%</w:t>
            </w:r>
          </w:p>
        </w:tc>
        <w:tc>
          <w:tcPr>
            <w:tcW w:type="dxa" w:w="4413"/>
          </w:tcPr>
          <w:p>
            <w:r/>
            <w:r>
              <w:rPr>
                <w:rFonts w:ascii="Calibri" w:hAnsi="Calibri" w:eastAsia="Times New Roman" w:cs="Times New Roman"/>
                <w:b/>
                <w:sz w:val="19"/>
              </w:rPr>
              <w:t>Removed from this paper</w:t>
            </w:r>
            <w:r>
              <w:rPr>
                <w:rFonts w:ascii="Calibri" w:hAnsi="Calibri" w:eastAsia="Times New Roman" w:cs="Times New Roman"/>
                <w:sz w:val="19"/>
              </w:rPr>
              <w:t>: transferred to the fourth paper (causal side); the executed AIPW/DR did not pass the preregistered positive-control criterion and its implementation differs from the frozen document, hence is not interpretable (§8.3), the "optimal-position" test's premise fails, so no point test against 15.87% is reported</w:t>
            </w:r>
          </w:p>
        </w:tc>
      </w:tr>
      <w:tr>
        <w:tc>
          <w:tcPr>
            <w:tcW w:type="dxa" w:w="4413"/>
          </w:tcPr>
          <w:p>
            <w:r/>
            <w:r>
              <w:rPr>
                <w:rFonts w:ascii="Calibri" w:hAnsi="Calibri" w:eastAsia="Times New Roman" w:cs="Times New Roman"/>
                <w:sz w:val="19"/>
              </w:rPr>
              <w:t>H5</w:t>
            </w:r>
          </w:p>
        </w:tc>
        <w:tc>
          <w:tcPr>
            <w:tcW w:type="dxa" w:w="4413"/>
          </w:tcPr>
          <w:p>
            <w:r/>
            <w:r>
              <w:rPr>
                <w:rFonts w:ascii="Calibri" w:hAnsi="Calibri" w:eastAsia="Times New Roman" w:cs="Times New Roman"/>
                <w:sz w:val="19"/>
              </w:rPr>
              <w:t>Dose–response curve is non-monotone</w:t>
            </w:r>
          </w:p>
        </w:tc>
        <w:tc>
          <w:tcPr>
            <w:tcW w:type="dxa" w:w="4413"/>
          </w:tcPr>
          <w:p>
            <w:r/>
            <w:r>
              <w:rPr>
                <w:rFonts w:ascii="Calibri" w:hAnsi="Calibri" w:eastAsia="Times New Roman" w:cs="Times New Roman"/>
                <w:b/>
                <w:sz w:val="19"/>
              </w:rPr>
              <w:t>Removed from this paper (2026-09-29, review §2.2)</w:t>
            </w:r>
            <w:r>
              <w:rPr>
                <w:rFonts w:ascii="Calibri" w:hAnsi="Calibri" w:eastAsia="Times New Roman" w:cs="Times New Roman"/>
                <w:sz w:val="19"/>
              </w:rPr>
              <w:t>: as above, the readings are not interpretable (§8.3), transferred to the fourth paper. The former W = 10/40 window-width robustness statement is invalid because the treatment window is fixed at 20 items, and has been deleted</w:t>
            </w:r>
          </w:p>
        </w:tc>
      </w:tr>
      <w:tr>
        <w:tc>
          <w:tcPr>
            <w:tcW w:type="dxa" w:w="4413"/>
          </w:tcPr>
          <w:p>
            <w:r/>
            <w:r>
              <w:rPr>
                <w:rFonts w:ascii="Calibri" w:hAnsi="Calibri" w:eastAsia="Times New Roman" w:cs="Times New Roman"/>
                <w:sz w:val="19"/>
              </w:rPr>
              <w:t>H6</w:t>
            </w:r>
          </w:p>
        </w:tc>
        <w:tc>
          <w:tcPr>
            <w:tcW w:type="dxa" w:w="4413"/>
          </w:tcPr>
          <w:p>
            <w:r/>
            <w:r>
              <w:rPr>
                <w:rFonts w:ascii="Calibri" w:hAnsi="Calibri" w:eastAsia="Times New Roman" w:cs="Times New Roman"/>
                <w:sz w:val="19"/>
              </w:rPr>
              <w:t>Effect-decay ordering of the five premises</w:t>
            </w:r>
          </w:p>
        </w:tc>
        <w:tc>
          <w:tcPr>
            <w:tcW w:type="dxa" w:w="4413"/>
          </w:tcPr>
          <w:p>
            <w:r/>
            <w:r>
              <w:rPr>
                <w:rFonts w:ascii="Calibri" w:hAnsi="Calibri" w:eastAsia="Times New Roman" w:cs="Times New Roman"/>
                <w:b/>
                <w:sz w:val="19"/>
              </w:rPr>
              <w:t>Partial</w:t>
            </w:r>
            <w:r>
              <w:rPr>
                <w:rFonts w:ascii="Calibri" w:hAnsi="Calibri" w:eastAsia="Times New Roman" w:cs="Times New Roman"/>
                <w:sz w:val="19"/>
              </w:rPr>
              <w:t>: exploratory stratification by hint rate × item type is unestimable (each stratum n&lt;3000); the five-premise decomposition retains qualitative discussion (§2.4), formal ordering test not executed</w:t>
            </w:r>
          </w:p>
        </w:tc>
      </w:tr>
      <w:tr>
        <w:tc>
          <w:tcPr>
            <w:tcW w:type="dxa" w:w="4413"/>
          </w:tcPr>
          <w:p>
            <w:r/>
            <w:r>
              <w:rPr>
                <w:rFonts w:ascii="Calibri" w:hAnsi="Calibri" w:eastAsia="Times New Roman" w:cs="Times New Roman"/>
                <w:sz w:val="19"/>
              </w:rPr>
              <w:t>H7</w:t>
            </w:r>
          </w:p>
        </w:tc>
        <w:tc>
          <w:tcPr>
            <w:tcW w:type="dxa" w:w="4413"/>
          </w:tcPr>
          <w:p>
            <w:r/>
            <w:r>
              <w:rPr>
                <w:rFonts w:ascii="Calibri" w:hAnsi="Calibri" w:eastAsia="Times New Roman" w:cs="Times New Roman"/>
                <w:sz w:val="19"/>
              </w:rPr>
              <w:t>Optimal-interval heterogeneity under ability stratification</w:t>
            </w:r>
          </w:p>
        </w:tc>
        <w:tc>
          <w:tcPr>
            <w:tcW w:type="dxa" w:w="4413"/>
          </w:tcPr>
          <w:p>
            <w:r/>
            <w:r>
              <w:rPr>
                <w:rFonts w:ascii="Calibri" w:hAnsi="Calibri" w:eastAsia="Times New Roman" w:cs="Times New Roman"/>
                <w:b/>
                <w:sz w:val="19"/>
              </w:rPr>
              <w:t>Not executed</w:t>
            </w:r>
          </w:p>
        </w:tc>
      </w:tr>
      <w:tr>
        <w:tc>
          <w:tcPr>
            <w:tcW w:type="dxa" w:w="4413"/>
          </w:tcPr>
          <w:p>
            <w:r/>
            <w:r>
              <w:rPr>
                <w:rFonts w:ascii="Calibri" w:hAnsi="Calibri" w:eastAsia="Times New Roman" w:cs="Times New Roman"/>
                <w:sz w:val="19"/>
              </w:rPr>
              <w:t>—</w:t>
            </w:r>
          </w:p>
        </w:tc>
        <w:tc>
          <w:tcPr>
            <w:tcW w:type="dxa" w:w="4413"/>
          </w:tcPr>
          <w:p>
            <w:r/>
            <w:r>
              <w:rPr>
                <w:rFonts w:ascii="Calibri" w:hAnsi="Calibri" w:eastAsia="Times New Roman" w:cs="Times New Roman"/>
                <w:sz w:val="19"/>
              </w:rPr>
              <w:t>Additional finding: knowledge-tree structure is not difficulty order</w:t>
            </w:r>
          </w:p>
        </w:tc>
        <w:tc>
          <w:tcPr>
            <w:tcW w:type="dxa" w:w="4413"/>
          </w:tcPr>
          <w:p>
            <w:r/>
            <w:r>
              <w:rPr>
                <w:rFonts w:ascii="Calibri" w:hAnsi="Calibri" w:eastAsia="Times New Roman" w:cs="Times New Roman"/>
                <w:b/>
                <w:sz w:val="19"/>
              </w:rPr>
              <w:t>Completed</w:t>
            </w:r>
            <w:r>
              <w:rPr>
                <w:rFonts w:ascii="Calibri" w:hAnsi="Calibri" w:eastAsia="Times New Roman" w:cs="Times New Roman"/>
                <w:sz w:val="19"/>
              </w:rPr>
              <w:t xml:space="preserve"> (§5.5, negative result)</w:t>
            </w:r>
          </w:p>
        </w:tc>
      </w:tr>
      <w:tr>
        <w:tc>
          <w:tcPr>
            <w:tcW w:type="dxa" w:w="4413"/>
          </w:tcPr>
          <w:p>
            <w:r/>
            <w:r>
              <w:rPr>
                <w:rFonts w:ascii="Calibri" w:hAnsi="Calibri" w:eastAsia="Times New Roman" w:cs="Times New Roman"/>
                <w:sz w:val="19"/>
              </w:rPr>
              <w:t>—</w:t>
            </w:r>
          </w:p>
        </w:tc>
        <w:tc>
          <w:tcPr>
            <w:tcW w:type="dxa" w:w="4413"/>
          </w:tcPr>
          <w:p>
            <w:r/>
            <w:r>
              <w:rPr>
                <w:rFonts w:ascii="Calibri" w:hAnsi="Calibri" w:eastAsia="Times New Roman" w:cs="Times New Roman"/>
                <w:sz w:val="19"/>
              </w:rPr>
              <w:t>Additional finding: criterion dependence of the fusion gain</w:t>
            </w:r>
          </w:p>
        </w:tc>
        <w:tc>
          <w:tcPr>
            <w:tcW w:type="dxa" w:w="4413"/>
          </w:tcPr>
          <w:p>
            <w:r/>
            <w:r>
              <w:rPr>
                <w:rFonts w:ascii="Calibri" w:hAnsi="Calibri" w:eastAsia="Times New Roman" w:cs="Times New Roman"/>
                <w:b/>
                <w:sz w:val="19"/>
              </w:rPr>
              <w:t>Completed</w:t>
            </w:r>
            <w:r>
              <w:rPr>
                <w:rFonts w:ascii="Calibri" w:hAnsi="Calibri" w:eastAsia="Times New Roman" w:cs="Times New Roman"/>
                <w:sz w:val="19"/>
              </w:rPr>
              <w:t xml:space="preserve"> (§7, negative result)</w:t>
            </w:r>
          </w:p>
        </w:tc>
      </w:tr>
    </w:tbl>
    <w:p/>
    <w:p>
      <w:pPr>
        <w:pStyle w:val="Heading1"/>
        <w:spacing w:before="200" w:after="80"/>
      </w:pPr>
      <w:r>
        <w:rPr>
          <w:rFonts w:ascii="Calibri" w:hAnsi="Calibri" w:eastAsia="Times New Roman" w:cs="Times New Roman"/>
          <w:sz w:val="32"/>
        </w:rPr>
        <w:t>9 Discussion</w:t>
      </w:r>
    </w:p>
    <w:p>
      <w:pPr>
        <w:pStyle w:val="Heading2"/>
        <w:spacing w:before="120" w:after="80"/>
      </w:pPr>
      <w:r>
        <w:rPr>
          <w:rFonts w:ascii="Calibri" w:hAnsi="Calibri" w:eastAsia="Times New Roman" w:cs="Times New Roman"/>
          <w:sz w:val="27"/>
        </w:rPr>
        <w:t>9.1 Three conclusions</w:t>
      </w:r>
    </w:p>
    <w:p>
      <w:pPr>
        <w:spacing w:after="120"/>
      </w:pPr>
      <w:r>
        <w:rPr>
          <w:rFonts w:ascii="Calibri" w:hAnsi="Calibri" w:eastAsia="Times New Roman" w:cs="Times New Roman"/>
          <w:b/>
          <w:sz w:val="21"/>
        </w:rPr>
        <w:t>First, commensurability is an engineering property that can be repaired, not a philosophical stance.</w:t>
      </w:r>
      <w:r>
        <w:rPr>
          <w:rFonts w:ascii="Calibri" w:hAnsi="Calibri" w:eastAsia="Times New Roman" w:cs="Times New Roman"/>
          <w:sz w:val="21"/>
        </w:rPr>
        <w:t xml:space="preserve"> The synthetic experiment (L1 0.1276 → 0, 36.4% reversal → 0%) and the real data (0.5357 → 0.0001) give the same conclusion along two independent paths: changing the sources from "linearly add after normalisation" to "link to a logit metric after quantile linking then add" makes the effective weights no longer drift under any monotone reparameterisation. This change needs no new estimator, no new data, and no tuning; its only cost is abandoning the habit of min-max. We argue it should be regarded as the default baseline for difficulty fusion.</w:t>
      </w:r>
    </w:p>
    <w:p>
      <w:pPr>
        <w:spacing w:after="120"/>
      </w:pPr>
      <w:r>
        <w:rPr>
          <w:rFonts w:ascii="Calibri" w:hAnsi="Calibri" w:eastAsia="Times New Roman" w:cs="Times New Roman"/>
          <w:b/>
          <w:sz w:val="21"/>
        </w:rPr>
        <w:t>Second, any report of "how much difficulty estimation improved" must simultaneously report the criterion of improvement, and must admit that the criterion itself constructs part of the conclusion.</w:t>
      </w:r>
      <w:r>
        <w:rPr>
          <w:rFonts w:ascii="Calibri" w:hAnsi="Calibri" w:eastAsia="Times New Roman" w:cs="Times New Roman"/>
          <w:sz w:val="21"/>
        </w:rPr>
        <w:t xml:space="preserve"> On the same data and the same fusion configuration, this paper successively obtained two opposite conclusions: +0.1017 (expert-label criterion, p = 0.000) and −0.1222 (holdout-performance criterion, win rate 0.00). They are not contradictory, because the rank correlation between expert labels and real-performance difficulty is only 0.4326.</w:t>
      </w:r>
    </w:p>
    <w:p>
      <w:pPr>
        <w:spacing w:after="120"/>
      </w:pPr>
      <w:r>
        <w:rPr>
          <w:rFonts w:ascii="Calibri" w:hAnsi="Calibri" w:eastAsia="Times New Roman" w:cs="Times New Roman"/>
          <w:sz w:val="21"/>
        </w:rPr>
        <w:t xml:space="preserve">But this reversal </w:t>
      </w:r>
      <w:r>
        <w:rPr>
          <w:rFonts w:ascii="Calibri" w:hAnsi="Calibri" w:eastAsia="Times New Roman" w:cs="Times New Roman"/>
          <w:b/>
          <w:sz w:val="21"/>
        </w:rPr>
        <w:t>cannot be read entirely as "fusion has no predictive power."</w:t>
      </w:r>
      <w:r>
        <w:rPr>
          <w:rFonts w:ascii="Calibri" w:hAnsi="Calibri" w:eastAsia="Times New Roman" w:cs="Times New Roman"/>
          <w:sz w:val="21"/>
        </w:rPr>
        <w:t xml:space="preserve"> The holdout-validation criterion is "the true success rate 1 − ok_B/n_B of block B," and the baseline estimator "success rate only" estimates </w:t>
      </w:r>
      <w:r>
        <w:rPr>
          <w:rFonts w:ascii="Calibri" w:hAnsi="Calibri" w:eastAsia="Times New Roman" w:cs="Times New Roman"/>
          <w:b/>
          <w:sz w:val="21"/>
        </w:rPr>
        <w:t>exactly this statistic</w:t>
      </w:r>
      <w:r>
        <w:rPr>
          <w:rFonts w:ascii="Calibri" w:hAnsi="Calibri" w:eastAsia="Times New Roman" w:cs="Times New Roman"/>
          <w:sz w:val="21"/>
        </w:rPr>
        <w:t xml:space="preserve"> on fit block A. That is, </w:t>
      </w:r>
      <w:r>
        <w:rPr>
          <w:rFonts w:ascii="Calibri" w:hAnsi="Calibri" w:eastAsia="Times New Roman" w:cs="Times New Roman"/>
          <w:b/>
          <w:sz w:val="21"/>
        </w:rPr>
        <w:t>the baseline is a small-sample estimate of the criterion quantity, while the fusion estimator mixes in other constructs such as hints, time, attempt count, and session count.</w:t>
      </w:r>
      <w:r>
        <w:rPr>
          <w:rFonts w:ascii="Calibri" w:hAnsi="Calibri" w:eastAsia="Times New Roman" w:cs="Times New Roman"/>
          <w:sz w:val="21"/>
        </w:rPr>
        <w:t xml:space="preserve"> If an item's success probability is stable, the success rate on A converges to that on B, so this design is </w:t>
      </w:r>
      <w:r>
        <w:rPr>
          <w:rFonts w:ascii="Calibri" w:hAnsi="Calibri" w:eastAsia="Times New Roman" w:cs="Times New Roman"/>
          <w:b/>
          <w:sz w:val="21"/>
        </w:rPr>
        <w:t>asymptotically favourable to the success-rate-only estimator</w:t>
      </w:r>
      <w:r>
        <w:rPr>
          <w:rFonts w:ascii="Calibri" w:hAnsi="Calibri" w:eastAsia="Times New Roman" w:cs="Times New Roman"/>
          <w:sz w:val="21"/>
        </w:rPr>
        <w:t xml:space="preserve">; the observed pattern (larger k, larger fusion disadvantage; Junyi −0.0267 → −0.1222, ρ reaches 0.95–0.96 at k = 200) is consistent with this structure. This is only a partial explanation—the objective function is inter-item rank correlation, block B is also finite-sample, and the fusion estimator also contains the success-rate signal—but </w:t>
      </w:r>
      <w:r>
        <w:rPr>
          <w:rFonts w:ascii="Calibri" w:hAnsi="Calibri" w:eastAsia="Times New Roman" w:cs="Times New Roman"/>
          <w:b/>
          <w:sz w:val="21"/>
        </w:rPr>
        <w:t>a substantial part of the reversal is built into the criterion choice</w:t>
      </w:r>
      <w:r>
        <w:rPr>
          <w:rFonts w:ascii="Calibri" w:hAnsi="Calibri" w:eastAsia="Times New Roman" w:cs="Times New Roman"/>
          <w:sz w:val="21"/>
        </w:rPr>
        <w:t>, which must be stated clearly in the conclusion.</w:t>
      </w:r>
    </w:p>
    <w:p>
      <w:pPr>
        <w:spacing w:after="120"/>
      </w:pPr>
      <w:r>
        <w:rPr>
          <w:rFonts w:ascii="Calibri" w:hAnsi="Calibri" w:eastAsia="Times New Roman" w:cs="Times New Roman"/>
          <w:sz w:val="21"/>
        </w:rPr>
        <w:t xml:space="preserve">Therefore what this paper can safely claim under this structure is: </w:t>
      </w:r>
      <w:r>
        <w:rPr>
          <w:rFonts w:ascii="Calibri" w:hAnsi="Calibri" w:eastAsia="Times New Roman" w:cs="Times New Roman"/>
          <w:b/>
          <w:sz w:val="21"/>
        </w:rPr>
        <w:t>when the criterion quantity is success rate, the success-rate estimator's large-sample dominance is design-expected; fusion's role is rank stabilisation at small samples.</w:t>
      </w:r>
      <w:r>
        <w:rPr>
          <w:rFonts w:ascii="Calibri" w:hAnsi="Calibri" w:eastAsia="Times New Roman" w:cs="Times New Roman"/>
          <w:sz w:val="21"/>
        </w:rPr>
        <w:t xml:space="preserve"> This is exactly what </w:t>
      </w:r>
      <w:r>
        <w:rPr>
          <w:rFonts w:ascii="Consolas" w:hAnsi="Consolas" w:eastAsia="Times New Roman" w:cs="Times New Roman"/>
          <w:sz w:val="21"/>
        </w:rPr>
        <w:t>srw7</w:t>
      </w:r>
      <w:r>
        <w:rPr>
          <w:rFonts w:ascii="Calibri" w:hAnsi="Calibri" w:eastAsia="Times New Roman" w:cs="Times New Roman"/>
          <w:sz w:val="21"/>
        </w:rPr>
        <w:t xml:space="preserve"> and λ_cf show (at k = 10, +3.8 ~ +4.3 pp; gone by k ≥ 100), and is consistent with the variance-reduction explanation of the "(1−λ)·success-rate + λ·fusion" shrinkage combination—but we did no bias–variance decomposition and have no prior model, so we have not identified this explanation; it is merely a compatible reading.</w:t>
      </w:r>
    </w:p>
    <w:p>
      <w:pPr>
        <w:spacing w:after="120"/>
      </w:pPr>
      <w:r>
        <w:rPr>
          <w:rFonts w:ascii="Calibri" w:hAnsi="Calibri" w:eastAsia="Times New Roman" w:cs="Times New Roman"/>
          <w:b/>
          <w:sz w:val="21"/>
        </w:rPr>
        <w:t>To make the sentence "consistency gain is not predictive-power gain" hold, two classes of criteria were added and recomputed (real-dataset fit, cross-validated PASS by `verify_m1_criteria.py --results`):</w:t>
      </w:r>
      <w:r>
        <w:rPr>
          <w:rFonts w:ascii="Calibri" w:hAnsi="Calibri" w:eastAsia="Times New Roman" w:cs="Times New Roman"/>
          <w:sz w:val="21"/>
        </w:rPr>
        <w:t xml:space="preserve"> First, </w:t>
      </w:r>
      <w:r>
        <w:rPr>
          <w:rFonts w:ascii="Calibri" w:hAnsi="Calibri" w:eastAsia="Times New Roman" w:cs="Times New Roman"/>
          <w:b/>
          <w:sz w:val="21"/>
        </w:rPr>
        <w:t>ability-corrected criterion (A1·Junyi, B-half ≥500 responses, actually 1,274 items)</w:t>
      </w:r>
      <w:r>
        <w:rPr>
          <w:rFonts w:ascii="Calibri" w:hAnsi="Calibri" w:eastAsia="Times New Roman" w:cs="Times New Roman"/>
          <w:sz w:val="21"/>
        </w:rPr>
        <w:t xml:space="preserve">—b_j fitted on block B, with the success-rate baseline and the fusion estimator both estimated on </w:t>
      </w:r>
      <w:r>
        <w:rPr>
          <w:rFonts w:ascii="Calibri" w:hAnsi="Calibri" w:eastAsia="Times New Roman" w:cs="Times New Roman"/>
          <w:b/>
          <w:sz w:val="21"/>
        </w:rPr>
        <w:t>block A</w:t>
      </w:r>
      <w:r>
        <w:rPr>
          <w:rFonts w:ascii="Calibri" w:hAnsi="Calibri" w:eastAsia="Times New Roman" w:cs="Times New Roman"/>
          <w:sz w:val="21"/>
        </w:rPr>
        <w:t xml:space="preserve"> and compared against the same b_j (caliber corrected per review §3.1); Spearman(b_j, success-only_A) = </w:t>
      </w:r>
      <w:r>
        <w:rPr>
          <w:rFonts w:ascii="Calibri" w:hAnsi="Calibri" w:eastAsia="Times New Roman" w:cs="Times New Roman"/>
          <w:b/>
          <w:sz w:val="21"/>
        </w:rPr>
        <w:t>0.9541</w:t>
      </w:r>
      <w:r>
        <w:rPr>
          <w:rFonts w:ascii="Calibri" w:hAnsi="Calibri" w:eastAsia="Times New Roman" w:cs="Times New Roman"/>
          <w:sz w:val="21"/>
        </w:rPr>
        <w:t xml:space="preserve">, Spearman(b_j, fusion_A) = </w:t>
      </w:r>
      <w:r>
        <w:rPr>
          <w:rFonts w:ascii="Calibri" w:hAnsi="Calibri" w:eastAsia="Times New Roman" w:cs="Times New Roman"/>
          <w:b/>
          <w:sz w:val="21"/>
        </w:rPr>
        <w:t>0.8923</w:t>
      </w:r>
      <w:r>
        <w:rPr>
          <w:rFonts w:ascii="Calibri" w:hAnsi="Calibri" w:eastAsia="Times New Roman" w:cs="Times New Roman"/>
          <w:sz w:val="21"/>
        </w:rPr>
        <w:t xml:space="preserve"> (the old 0.963, inflated by same-half leakage, is withdrawn). Second, </w:t>
      </w:r>
      <w:r>
        <w:rPr>
          <w:rFonts w:ascii="Calibri" w:hAnsi="Calibri" w:eastAsia="Times New Roman" w:cs="Times New Roman"/>
          <w:b/>
          <w:sz w:val="21"/>
        </w:rPr>
        <w:t>exogenous criterion (A2·DBE-KT22, 212 items)</w:t>
      </w:r>
      <w:r>
        <w:rPr>
          <w:rFonts w:ascii="Calibri" w:hAnsi="Calibri" w:eastAsia="Times New Roman" w:cs="Times New Roman"/>
          <w:sz w:val="21"/>
        </w:rPr>
        <w:t xml:space="preserve">—teacher labels placed at the criterion position, signal definitions unified with §6/O4 (same </w:t>
      </w:r>
      <w:r>
        <w:rPr>
          <w:rFonts w:ascii="Consolas" w:hAnsi="Consolas" w:eastAsia="Times New Roman" w:cs="Times New Roman"/>
          <w:sz w:val="21"/>
        </w:rPr>
        <w:t>dbe_signals.build()</w:t>
      </w:r>
      <w:r>
        <w:rPr>
          <w:rFonts w:ascii="Calibri" w:hAnsi="Calibri" w:eastAsia="Times New Roman" w:cs="Times New Roman"/>
          <w:sz w:val="21"/>
        </w:rPr>
        <w:t xml:space="preserve">); Spearman(fusion, teacher) = </w:t>
      </w:r>
      <w:r>
        <w:rPr>
          <w:rFonts w:ascii="Calibri" w:hAnsi="Calibri" w:eastAsia="Times New Roman" w:cs="Times New Roman"/>
          <w:b/>
          <w:sz w:val="21"/>
        </w:rPr>
        <w:t>0.2918</w:t>
      </w:r>
      <w:r>
        <w:rPr>
          <w:rFonts w:ascii="Calibri" w:hAnsi="Calibri" w:eastAsia="Times New Roman" w:cs="Times New Roman"/>
          <w:sz w:val="21"/>
        </w:rPr>
        <w:t xml:space="preserve">, Spearman(success-only, teacher) = </w:t>
      </w:r>
      <w:r>
        <w:rPr>
          <w:rFonts w:ascii="Calibri" w:hAnsi="Calibri" w:eastAsia="Times New Roman" w:cs="Times New Roman"/>
          <w:b/>
          <w:sz w:val="21"/>
        </w:rPr>
        <w:t>0.2204</w:t>
      </w:r>
      <w:r>
        <w:rPr>
          <w:rFonts w:ascii="Calibri" w:hAnsi="Calibri" w:eastAsia="Times New Roman" w:cs="Times New Roman"/>
          <w:sz w:val="21"/>
        </w:rPr>
        <w:t xml:space="preserve">, teacher-vs-behaviour three-grade weighted κ = </w:t>
      </w:r>
      <w:r>
        <w:rPr>
          <w:rFonts w:ascii="Calibri" w:hAnsi="Calibri" w:eastAsia="Times New Roman" w:cs="Times New Roman"/>
          <w:b/>
          <w:sz w:val="21"/>
        </w:rPr>
        <w:t>0.178</w:t>
      </w:r>
      <w:r>
        <w:rPr>
          <w:rFonts w:ascii="Calibri" w:hAnsi="Calibri" w:eastAsia="Times New Roman" w:cs="Times New Roman"/>
          <w:sz w:val="21"/>
        </w:rPr>
        <w:t xml:space="preserve">. The two criteria point in </w:t>
      </w:r>
      <w:r>
        <w:rPr>
          <w:rFonts w:ascii="Calibri" w:hAnsi="Calibri" w:eastAsia="Times New Roman" w:cs="Times New Roman"/>
          <w:b/>
          <w:sz w:val="21"/>
        </w:rPr>
        <w:t>opposite directions</w:t>
      </w:r>
      <w:r>
        <w:rPr>
          <w:rFonts w:ascii="Calibri" w:hAnsi="Calibri" w:eastAsia="Times New Roman" w:cs="Times New Roman"/>
          <w:sz w:val="21"/>
        </w:rPr>
        <w:t xml:space="preserve">: </w:t>
      </w:r>
      <w:r>
        <w:rPr>
          <w:rFonts w:ascii="Calibri" w:hAnsi="Calibri" w:eastAsia="Times New Roman" w:cs="Times New Roman"/>
          <w:b/>
          <w:sz w:val="21"/>
        </w:rPr>
        <w:t>under A1's b_j criterion success rate is closer to b_j (0.9541 vs 0.8923), whereas under A2's teacher-label criterion fusion is closer (0.2918 vs 0.2204)</w:t>
      </w:r>
      <w:r>
        <w:rPr>
          <w:rFonts w:ascii="Calibri" w:hAnsi="Calibri" w:eastAsia="Times New Roman" w:cs="Times New Roman"/>
          <w:sz w:val="21"/>
        </w:rPr>
        <w:t xml:space="preserve"> — and this divergence survives the unification of the signal definitions, so it stems from the choice of criterion itself. The claim is therefore narrowed to "the conclusion depends on the definition of the criterion quantity", adopted here on the basis of the real recomputation of the two criteria.</w:t>
      </w:r>
    </w:p>
    <w:p>
      <w:pPr>
        <w:spacing w:after="120"/>
      </w:pPr>
      <w:r>
        <w:rPr>
          <w:rFonts w:ascii="Calibri" w:hAnsi="Calibri" w:eastAsia="Times New Roman" w:cs="Times New Roman"/>
          <w:sz w:val="21"/>
        </w:rPr>
        <w:t xml:space="preserve">In addition, the criterion block has limited reliability (record-level block B fixed at 250, student-level requires ≥500), so </w:t>
      </w:r>
      <w:r>
        <w:rPr>
          <w:rFonts w:ascii="Calibri" w:hAnsi="Calibri" w:eastAsia="Times New Roman" w:cs="Times New Roman"/>
          <w:b/>
          <w:sz w:val="21"/>
        </w:rPr>
        <w:t>only within-k between-group comparisons are valid</w:t>
      </w:r>
      <w:r>
        <w:rPr>
          <w:rFonts w:ascii="Calibri" w:hAnsi="Calibri" w:eastAsia="Times New Roman" w:cs="Times New Roman"/>
          <w:sz w:val="21"/>
        </w:rPr>
        <w:t xml:space="preserve">; the absolute ρ values in the tables (max 0.96) </w:t>
      </w:r>
      <w:r>
        <w:rPr>
          <w:rFonts w:ascii="Calibri" w:hAnsi="Calibri" w:eastAsia="Times New Roman" w:cs="Times New Roman"/>
          <w:b/>
          <w:sz w:val="21"/>
        </w:rPr>
        <w:t>must not be read as "near perfect,"</w:t>
      </w:r>
      <w:r>
        <w:rPr>
          <w:rFonts w:ascii="Calibri" w:hAnsi="Calibri" w:eastAsia="Times New Roman" w:cs="Times New Roman"/>
          <w:sz w:val="21"/>
        </w:rPr>
        <w:t xml:space="preserve"> nor bolded in the tables.</w:t>
      </w:r>
    </w:p>
    <w:p>
      <w:pPr>
        <w:spacing w:after="120"/>
      </w:pPr>
      <w:r>
        <w:rPr>
          <w:rFonts w:ascii="Calibri" w:hAnsi="Calibri" w:eastAsia="Times New Roman" w:cs="Times New Roman"/>
          <w:b/>
          <w:sz w:val="21"/>
        </w:rPr>
        <w:t>Third, completing the measurement side does not automatically buy the causal side.</w:t>
      </w:r>
      <w:r>
        <w:rPr>
          <w:rFonts w:ascii="Calibri" w:hAnsi="Calibri" w:eastAsia="Times New Roman" w:cs="Times New Roman"/>
          <w:sz w:val="21"/>
        </w:rPr>
        <w:t xml:space="preserve"> The original logic of this paper was "first argue whether the measure is well defined, then argue the causal effect on that measure." The first half is complete; the second is not. This asymmetry should not be masked by narrative skill: what this paper can now say is "difficulty can be well-definedly fused," not "placing a student in a certain difficulty bracket changes their mastery speed." (Supplement 2026-09-24: the causal side was executed under a frozen identification strategy, yielding no detected internal optimum and a significant Junyi negative control—the scope of "cannot say" is thereby narrowed to "cannot make a causal-grade assertion," not "did not attempt"; see §8.3.)</w:t>
      </w:r>
    </w:p>
    <w:p>
      <w:pPr>
        <w:pStyle w:val="Heading2"/>
        <w:spacing w:before="120" w:after="80"/>
      </w:pPr>
      <w:r>
        <w:rPr>
          <w:rFonts w:ascii="Calibri" w:hAnsi="Calibri" w:eastAsia="Times New Roman" w:cs="Times New Roman"/>
          <w:sz w:val="27"/>
        </w:rPr>
        <w:t>9.2 Implications for the system and three landed code changes</w:t>
      </w:r>
    </w:p>
    <w:p>
      <w:pPr>
        <w:spacing w:after="120"/>
      </w:pPr>
      <w:r>
        <w:rPr>
          <w:rFonts w:ascii="Calibri" w:hAnsi="Calibri" w:eastAsia="Times New Roman" w:cs="Times New Roman"/>
          <w:sz w:val="21"/>
        </w:rPr>
        <w:t>Part of the above conclusions has landed in the studied system's code layer, in three places (the first two covered by regression tests, the third by an external verification script):</w:t>
      </w:r>
    </w:p>
    <w:p>
      <w:pPr>
        <w:pStyle w:val="ListNumber"/>
        <w:spacing w:after="40"/>
      </w:pPr>
      <w:r>
        <w:rPr>
          <w:rFonts w:ascii="Calibri" w:hAnsi="Calibri" w:eastAsia="Times New Roman" w:cs="Times New Roman"/>
          <w:b/>
          <w:sz w:val="21"/>
        </w:rPr>
        <w:t>New difficulty-metric layer</w:t>
      </w:r>
      <w:r>
        <w:rPr>
          <w:rFonts w:ascii="Calibri" w:hAnsi="Calibri" w:eastAsia="Times New Roman" w:cs="Times New Roman"/>
          <w:sz w:val="21"/>
        </w:rPr>
        <w:t xml:space="preserve"> </w:t>
      </w:r>
      <w:r>
        <w:rPr>
          <w:rFonts w:ascii="Consolas" w:hAnsi="Consolas" w:eastAsia="Times New Roman" w:cs="Times New Roman"/>
          <w:sz w:val="21"/>
        </w:rPr>
        <w:t>learnflow-backend/app/services/difficulty_fusion.py</w:t>
      </w:r>
      <w:r>
        <w:rPr>
          <w:rFonts w:ascii="Calibri" w:hAnsi="Calibri" w:eastAsia="Times New Roman" w:cs="Times New Roman"/>
          <w:sz w:val="21"/>
        </w:rPr>
        <w:t xml:space="preserve">, providing three functions: </w:t>
      </w:r>
      <w:r>
        <w:rPr>
          <w:rFonts w:ascii="Consolas" w:hAnsi="Consolas" w:eastAsia="Times New Roman" w:cs="Times New Roman"/>
          <w:sz w:val="21"/>
        </w:rPr>
        <w:t>ecdf_logit()</w:t>
      </w:r>
      <w:r>
        <w:rPr>
          <w:rFonts w:ascii="Calibri" w:hAnsi="Calibri" w:eastAsia="Times New Roman" w:cs="Times New Roman"/>
          <w:sz w:val="21"/>
        </w:rPr>
        <w:t xml:space="preserve"> (empirical CDF → logit quantile linking, invariant to any monotone reparameterisation, corresponding to O1's 1 × 10⁻⁴ property), </w:t>
      </w:r>
      <w:r>
        <w:rPr>
          <w:rFonts w:ascii="Consolas" w:hAnsi="Consolas" w:eastAsia="Times New Roman" w:cs="Times New Roman"/>
          <w:sz w:val="21"/>
        </w:rPr>
        <w:t>fuse_signals()</w:t>
      </w:r>
      <w:r>
        <w:rPr>
          <w:rFonts w:ascii="Calibri" w:hAnsi="Calibri" w:eastAsia="Times New Roman" w:cs="Times New Roman"/>
          <w:sz w:val="21"/>
        </w:rPr>
        <w:t xml:space="preserve"> (multi-behavioural-signal rank fusion, corresponding to O4 / O5 conclusions), </w:t>
      </w:r>
      <w:r>
        <w:rPr>
          <w:rFonts w:ascii="Consolas" w:hAnsi="Consolas" w:eastAsia="Times New Roman" w:cs="Times New Roman"/>
          <w:sz w:val="21"/>
        </w:rPr>
        <w:t>logit_to_fsrs()</w:t>
      </w:r>
      <w:r>
        <w:rPr>
          <w:rFonts w:ascii="Calibri" w:hAnsi="Calibri" w:eastAsia="Times New Roman" w:cs="Times New Roman"/>
          <w:sz w:val="21"/>
        </w:rPr>
        <w:t xml:space="preserve"> (in-batch mapping to FSRS's [1, 10] interval). The module docstring writes in O1 / O3 / O4 / O5 numbers, and writes in </w:t>
      </w:r>
      <w:r>
        <w:rPr>
          <w:rFonts w:ascii="Calibri" w:hAnsi="Calibri" w:eastAsia="Times New Roman" w:cs="Times New Roman"/>
          <w:b/>
          <w:sz w:val="21"/>
        </w:rPr>
        <w:t>O3's negative-result warning: prohibit using knowledge-tree depth as a difficulty proxy</w:t>
      </w:r>
      <w:r>
        <w:rPr>
          <w:rFonts w:ascii="Calibri" w:hAnsi="Calibri" w:eastAsia="Times New Roman" w:cs="Times New Roman"/>
          <w:sz w:val="21"/>
        </w:rPr>
        <w:t>.</w:t>
      </w:r>
    </w:p>
    <w:p>
      <w:pPr>
        <w:pStyle w:val="ListNumber"/>
        <w:spacing w:after="40"/>
      </w:pPr>
      <w:r>
        <w:rPr>
          <w:rFonts w:ascii="Calibri" w:hAnsi="Calibri" w:eastAsia="Times New Roman" w:cs="Times New Roman"/>
          <w:b/>
          <w:sz w:val="21"/>
        </w:rPr>
        <w:t>Modified</w:t>
      </w:r>
      <w:r>
        <w:rPr>
          <w:rFonts w:ascii="Calibri" w:hAnsi="Calibri" w:eastAsia="Times New Roman" w:cs="Times New Roman"/>
          <w:sz w:val="21"/>
        </w:rPr>
        <w:t xml:space="preserve"> </w:t>
      </w:r>
      <w:r>
        <w:rPr>
          <w:rFonts w:ascii="Consolas" w:hAnsi="Consolas" w:eastAsia="Times New Roman" w:cs="Times New Roman"/>
          <w:sz w:val="21"/>
        </w:rPr>
        <w:t>learnflow-backend/app/services/optimal_difficulty.py</w:t>
      </w:r>
      <w:r>
        <w:rPr>
          <w:rFonts w:ascii="Calibri" w:hAnsi="Calibri" w:eastAsia="Times New Roman" w:cs="Times New Roman"/>
          <w:sz w:val="21"/>
        </w:rPr>
        <w:t xml:space="preserve">'s </w:t>
      </w:r>
      <w:r>
        <w:rPr>
          <w:rFonts w:ascii="Consolas" w:hAnsi="Consolas" w:eastAsia="Times New Roman" w:cs="Times New Roman"/>
          <w:sz w:val="21"/>
        </w:rPr>
        <w:t>update_task_difficulty</w:t>
      </w:r>
      <w:r>
        <w:rPr>
          <w:rFonts w:ascii="Calibri" w:hAnsi="Calibri" w:eastAsia="Times New Roman" w:cs="Times New Roman"/>
          <w:sz w:val="21"/>
        </w:rPr>
        <w:t xml:space="preserve">: replaced the time-consuming </w:t>
      </w:r>
      <w:r>
        <w:rPr>
          <w:rFonts w:ascii="Consolas" w:hAnsi="Consolas" w:eastAsia="Times New Roman" w:cs="Times New Roman"/>
          <w:sz w:val="21"/>
        </w:rPr>
        <w:t>&gt;180s</w:t>
      </w:r>
      <w:r>
        <w:rPr>
          <w:rFonts w:ascii="Calibri" w:hAnsi="Calibri" w:eastAsia="Times New Roman" w:cs="Times New Roman"/>
          <w:sz w:val="21"/>
        </w:rPr>
        <w:t xml:space="preserve"> hard-threshold bracketing with a log-time continuous monotonic soft term s = σ(ln(t/60)/0.8), and added a hint penalty (O5 shows hint rate is an effective difficulty signal); the old behaviour contract "lower difficulty after fast correct" is preserved.</w:t>
      </w:r>
    </w:p>
    <w:p>
      <w:pPr>
        <w:pStyle w:val="ListNumber"/>
        <w:spacing w:after="40"/>
      </w:pPr>
      <w:r>
        <w:rPr>
          <w:rFonts w:ascii="Calibri" w:hAnsi="Calibri" w:eastAsia="Times New Roman" w:cs="Times New Roman"/>
          <w:b/>
          <w:sz w:val="21"/>
        </w:rPr>
        <w:t>New</w:t>
      </w:r>
      <w:r>
        <w:rPr>
          <w:rFonts w:ascii="Calibri" w:hAnsi="Calibri" w:eastAsia="Times New Roman" w:cs="Times New Roman"/>
          <w:sz w:val="21"/>
        </w:rPr>
        <w:t xml:space="preserve"> </w:t>
      </w:r>
      <w:r>
        <w:rPr>
          <w:rFonts w:ascii="Consolas" w:hAnsi="Consolas" w:eastAsia="Times New Roman" w:cs="Times New Roman"/>
          <w:sz w:val="21"/>
        </w:rPr>
        <w:t>estimate_optimized_difficulty()</w:t>
      </w:r>
      <w:r>
        <w:rPr>
          <w:rFonts w:ascii="Calibri" w:hAnsi="Calibri" w:eastAsia="Times New Roman" w:cs="Times New Roman"/>
          <w:sz w:val="21"/>
        </w:rPr>
        <w:t xml:space="preserve"> in </w:t>
      </w:r>
      <w:r>
        <w:rPr>
          <w:rFonts w:ascii="Consolas" w:hAnsi="Consolas" w:eastAsia="Times New Roman" w:cs="Times New Roman"/>
          <w:sz w:val="21"/>
        </w:rPr>
        <w:t>learnflow-backend/app/services/difficulty_fusion.py</w:t>
      </w:r>
      <w:r>
        <w:rPr>
          <w:rFonts w:ascii="Calibri" w:hAnsi="Calibri" w:eastAsia="Times New Roman" w:cs="Times New Roman"/>
          <w:sz w:val="21"/>
        </w:rPr>
        <w:t xml:space="preserve"> (along with </w:t>
      </w:r>
      <w:r>
        <w:rPr>
          <w:rFonts w:ascii="Consolas" w:hAnsi="Consolas" w:eastAsia="Times New Roman" w:cs="Times New Roman"/>
          <w:sz w:val="21"/>
        </w:rPr>
        <w:t>split_half_reliability()</w:t>
      </w:r>
      <w:r>
        <w:rPr>
          <w:rFonts w:ascii="Calibri" w:hAnsi="Calibri" w:eastAsia="Times New Roman" w:cs="Times New Roman"/>
          <w:sz w:val="21"/>
        </w:rPr>
        <w:t xml:space="preserve"> and </w:t>
      </w:r>
      <w:r>
        <w:rPr>
          <w:rFonts w:ascii="Consolas" w:hAnsi="Consolas" w:eastAsia="Times New Roman" w:cs="Times New Roman"/>
          <w:sz w:val="21"/>
        </w:rPr>
        <w:t>OPT_SIGNAL_NAMES</w:t>
      </w:r>
      <w:r>
        <w:rPr>
          <w:rFonts w:ascii="Calibri" w:hAnsi="Calibri" w:eastAsia="Times New Roman" w:cs="Times New Roman"/>
          <w:sz w:val="21"/>
        </w:rPr>
        <w:t xml:space="preserve">, defined at </w:t>
      </w:r>
      <w:r>
        <w:rPr>
          <w:rFonts w:ascii="Consolas" w:hAnsi="Consolas" w:eastAsia="Times New Roman" w:cs="Times New Roman"/>
          <w:sz w:val="21"/>
        </w:rPr>
        <w:t>:278</w:t>
      </w:r>
      <w:r>
        <w:rPr>
          <w:rFonts w:ascii="Calibri" w:hAnsi="Calibri" w:eastAsia="Times New Roman" w:cs="Times New Roman"/>
          <w:sz w:val="21"/>
        </w:rPr>
        <w:t xml:space="preserve">; the file is 338 lines in total): implements the §7.8 </w:t>
      </w:r>
      <w:r>
        <w:rPr>
          <w:rFonts w:ascii="Consolas" w:hAnsi="Consolas" w:eastAsia="Times New Roman" w:cs="Times New Roman"/>
          <w:sz w:val="21"/>
        </w:rPr>
        <w:t>srw7</w:t>
      </w:r>
      <w:r>
        <w:rPr>
          <w:rFonts w:ascii="Calibri" w:hAnsi="Calibri" w:eastAsia="Times New Roman" w:cs="Times New Roman"/>
          <w:sz w:val="21"/>
        </w:rPr>
        <w:t xml:space="preserve"> estimator—per-signal sign correction (sign fixed by in-fit-block rank correlation with success-rate direction; inversely signed signals taken negative, not dropped), split-half-reliability weighting (</w:t>
      </w:r>
      <w:r>
        <w:rPr>
          <w:rFonts w:ascii="Consolas" w:hAnsi="Consolas" w:eastAsia="Times New Roman" w:cs="Times New Roman"/>
          <w:sz w:val="21"/>
        </w:rPr>
        <w:t>split_half_reliability()</w:t>
      </w:r>
      <w:r>
        <w:rPr>
          <w:rFonts w:ascii="Calibri" w:hAnsi="Calibri" w:eastAsia="Times New Roman" w:cs="Times New Roman"/>
          <w:sz w:val="21"/>
        </w:rPr>
        <w:t xml:space="preserve"> estimates each signal's reliability, taken positive and normalised), and λ-shrinkage (defaults to the closed form </w:t>
      </w:r>
      <w:r>
        <w:rPr>
          <w:rFonts w:ascii="Consolas" w:hAnsi="Consolas" w:eastAsia="Times New Roman" w:cs="Times New Roman"/>
          <w:sz w:val="21"/>
        </w:rPr>
        <w:t>lambda_closed_form(k)</w:t>
      </w:r>
      <w:r>
        <w:rPr>
          <w:rFonts w:ascii="Calibri" w:hAnsi="Calibri" w:eastAsia="Times New Roman" w:cs="Times New Roman"/>
          <w:sz w:val="21"/>
        </w:rPr>
        <w:t>). The recommended estimator of §7.4 is this function.</w:t>
      </w:r>
    </w:p>
    <w:p>
      <w:pPr>
        <w:spacing w:after="120"/>
      </w:pPr>
      <w:r>
        <w:rPr>
          <w:rFonts w:ascii="Calibri" w:hAnsi="Calibri" w:eastAsia="Times New Roman" w:cs="Times New Roman"/>
          <w:sz w:val="21"/>
        </w:rPr>
        <w:t xml:space="preserve">The accompanying new </w:t>
      </w:r>
      <w:r>
        <w:rPr>
          <w:rFonts w:ascii="Consolas" w:hAnsi="Consolas" w:eastAsia="Times New Roman" w:cs="Times New Roman"/>
          <w:sz w:val="21"/>
        </w:rPr>
        <w:t>learnflow-backend/tests/test_difficulty_fusion.py</w:t>
      </w:r>
      <w:r>
        <w:rPr>
          <w:rFonts w:ascii="Calibri" w:hAnsi="Calibri" w:eastAsia="Times New Roman" w:cs="Times New Roman"/>
          <w:sz w:val="21"/>
        </w:rPr>
        <w:t xml:space="preserve"> (14 regression tests) covers quantile-metric monotone-transform invariance, zero fusion-weight drift, fusion better than single signal, no time jump (difference between 179 s and 181 s &lt; 0.02), and evidence-score boundary [1, 4]; </w:t>
      </w:r>
      <w:r>
        <w:rPr>
          <w:rFonts w:ascii="Calibri" w:hAnsi="Calibri" w:eastAsia="Times New Roman" w:cs="Times New Roman"/>
          <w:b/>
          <w:sz w:val="21"/>
        </w:rPr>
        <w:t>the above regression tests cover only the first two changes.</w:t>
      </w:r>
      <w:r>
        <w:rPr>
          <w:rFonts w:ascii="Calibri" w:hAnsi="Calibri" w:eastAsia="Times New Roman" w:cs="Times New Roman"/>
          <w:sz w:val="21"/>
        </w:rPr>
        <w:t xml:space="preserve"> The full test count </w:t>
      </w:r>
      <w:r>
        <w:rPr>
          <w:rFonts w:ascii="Calibri" w:hAnsi="Calibri" w:eastAsia="Times New Roman" w:cs="Times New Roman"/>
          <w:b/>
          <w:sz w:val="21"/>
        </w:rPr>
        <w:t>rose from 920 before the changes to 934 (intermediate) after the difficulty-metric layer added 14 regression tests, then to 936 (intermediate) after this review's remediation added 2 mechanism-count gate tests, and finally to 972 after merging the `learnflow-main` snapshot; measured `pytest` is now 972 passed</w:t>
      </w:r>
      <w:r>
        <w:rPr>
          <w:rFonts w:ascii="Calibri" w:hAnsi="Calibri" w:eastAsia="Times New Roman" w:cs="Times New Roman"/>
          <w:sz w:val="21"/>
        </w:rPr>
        <w:t>. All citations in this paper uniformly use 972.</w:t>
      </w:r>
    </w:p>
    <w:p>
      <w:pPr>
        <w:spacing w:after="120"/>
      </w:pPr>
      <w:r>
        <w:rPr>
          <w:rFonts w:ascii="Calibri" w:hAnsi="Calibri" w:eastAsia="Times New Roman" w:cs="Times New Roman"/>
          <w:b/>
          <w:sz w:val="21"/>
        </w:rPr>
        <w:t>Landing method and cost of the third change (stated honestly):</w:t>
      </w:r>
      <w:r>
        <w:rPr>
          <w:rFonts w:ascii="Calibri" w:hAnsi="Calibri" w:eastAsia="Times New Roman" w:cs="Times New Roman"/>
          <w:sz w:val="21"/>
        </w:rPr>
        <w:t xml:space="preserve"> </w:t>
      </w:r>
      <w:r>
        <w:rPr>
          <w:rFonts w:ascii="Consolas" w:hAnsi="Consolas" w:eastAsia="Times New Roman" w:cs="Times New Roman"/>
          <w:sz w:val="21"/>
        </w:rPr>
        <w:t>estimate_optimized_difficulty()</w:t>
      </w:r>
      <w:r>
        <w:rPr>
          <w:rFonts w:ascii="Calibri" w:hAnsi="Calibri" w:eastAsia="Times New Roman" w:cs="Times New Roman"/>
          <w:sz w:val="21"/>
        </w:rPr>
        <w:t xml:space="preserve"> landed as an </w:t>
      </w:r>
      <w:r>
        <w:rPr>
          <w:rFonts w:ascii="Calibri" w:hAnsi="Calibri" w:eastAsia="Times New Roman" w:cs="Times New Roman"/>
          <w:b/>
          <w:sz w:val="21"/>
        </w:rPr>
        <w:t>incremental function</w:t>
      </w:r>
      <w:r>
        <w:rPr>
          <w:rFonts w:ascii="Calibri" w:hAnsi="Calibri" w:eastAsia="Times New Roman" w:cs="Times New Roman"/>
          <w:sz w:val="21"/>
        </w:rPr>
        <w:t xml:space="preserve">, </w:t>
      </w:r>
      <w:r>
        <w:rPr>
          <w:rFonts w:ascii="Calibri" w:hAnsi="Calibri" w:eastAsia="Times New Roman" w:cs="Times New Roman"/>
          <w:b/>
          <w:sz w:val="21"/>
        </w:rPr>
        <w:t>added no new pytest cases</w:t>
      </w:r>
      <w:r>
        <w:rPr>
          <w:rFonts w:ascii="Calibri" w:hAnsi="Calibri" w:eastAsia="Times New Roman" w:cs="Times New Roman"/>
          <w:sz w:val="21"/>
        </w:rPr>
        <w:t xml:space="preserve">, so </w:t>
      </w:r>
      <w:r>
        <w:rPr>
          <w:rFonts w:ascii="Calibri" w:hAnsi="Calibri" w:eastAsia="Times New Roman" w:cs="Times New Roman"/>
          <w:b/>
          <w:sz w:val="21"/>
        </w:rPr>
        <w:t>this estimator does not change the test count</w:t>
      </w:r>
      <w:r>
        <w:rPr>
          <w:rFonts w:ascii="Calibri" w:hAnsi="Calibri" w:eastAsia="Times New Roman" w:cs="Times New Roman"/>
          <w:sz w:val="21"/>
        </w:rPr>
        <w:t xml:space="preserve"> (still 972 full)—the earlier notice "this estimator's landing will change the test count" no longer holds, corrected here honestly. The function's correctness is instead guaranteed by the </w:t>
      </w:r>
      <w:r>
        <w:rPr>
          <w:rFonts w:ascii="Calibri" w:hAnsi="Calibri" w:eastAsia="Times New Roman" w:cs="Times New Roman"/>
          <w:b/>
          <w:sz w:val="21"/>
        </w:rPr>
        <w:t>external verification script</w:t>
      </w:r>
      <w:r>
        <w:rPr>
          <w:rFonts w:ascii="Calibri" w:hAnsi="Calibri" w:eastAsia="Times New Roman" w:cs="Times New Roman"/>
          <w:sz w:val="21"/>
        </w:rPr>
        <w:t xml:space="preserve"> </w:t>
      </w:r>
      <w:r>
        <w:rPr>
          <w:rFonts w:ascii="Consolas" w:hAnsi="Consolas" w:eastAsia="Times New Roman" w:cs="Times New Roman"/>
          <w:sz w:val="21"/>
        </w:rPr>
        <w:t>results/code/o11_land_verify.py</w:t>
      </w:r>
      <w:r>
        <w:rPr>
          <w:rFonts w:ascii="Calibri" w:hAnsi="Calibri" w:eastAsia="Times New Roman" w:cs="Times New Roman"/>
          <w:sz w:val="21"/>
        </w:rPr>
        <w:t xml:space="preserve">: all 15 checks pass (15/15 PASS), covering module export </w:t>
      </w:r>
      <w:r>
        <w:rPr>
          <w:rFonts w:ascii="Consolas" w:hAnsi="Consolas" w:eastAsia="Times New Roman" w:cs="Times New Roman"/>
          <w:sz w:val="21"/>
        </w:rPr>
        <w:t>estimate_optimized_difficulty</w:t>
      </w:r>
      <w:r>
        <w:rPr>
          <w:rFonts w:ascii="Calibri" w:hAnsi="Calibri" w:eastAsia="Times New Roman" w:cs="Times New Roman"/>
          <w:sz w:val="21"/>
        </w:rPr>
        <w:t xml:space="preserve"> / </w:t>
      </w:r>
      <w:r>
        <w:rPr>
          <w:rFonts w:ascii="Consolas" w:hAnsi="Consolas" w:eastAsia="Times New Roman" w:cs="Times New Roman"/>
          <w:sz w:val="21"/>
        </w:rPr>
        <w:t>split_half_reliability</w:t>
      </w:r>
      <w:r>
        <w:rPr>
          <w:rFonts w:ascii="Calibri" w:hAnsi="Calibri" w:eastAsia="Times New Roman" w:cs="Times New Roman"/>
          <w:sz w:val="21"/>
        </w:rPr>
        <w:t xml:space="preserve">, </w:t>
      </w:r>
      <w:r>
        <w:rPr>
          <w:rFonts w:ascii="Consolas" w:hAnsi="Consolas" w:eastAsia="Times New Roman" w:cs="Times New Roman"/>
          <w:sz w:val="21"/>
        </w:rPr>
        <w:t>ValueError</w:t>
      </w:r>
      <w:r>
        <w:rPr>
          <w:rFonts w:ascii="Calibri" w:hAnsi="Calibri" w:eastAsia="Times New Roman" w:cs="Times New Roman"/>
          <w:sz w:val="21"/>
        </w:rPr>
        <w:t xml:space="preserve"> on k ≤ 0, </w:t>
      </w:r>
      <w:r>
        <w:rPr>
          <w:rFonts w:ascii="Consolas" w:hAnsi="Consolas" w:eastAsia="Times New Roman" w:cs="Times New Roman"/>
          <w:sz w:val="21"/>
        </w:rPr>
        <w:t>ValueError</w:t>
      </w:r>
      <w:r>
        <w:rPr>
          <w:rFonts w:ascii="Calibri" w:hAnsi="Calibri" w:eastAsia="Times New Roman" w:cs="Times New Roman"/>
          <w:sz w:val="21"/>
        </w:rPr>
        <w:t xml:space="preserve"> on missing signal, λ default equals </w:t>
      </w:r>
      <w:r>
        <w:rPr>
          <w:rFonts w:ascii="Consolas" w:hAnsi="Consolas" w:eastAsia="Times New Roman" w:cs="Times New Roman"/>
          <w:sz w:val="21"/>
        </w:rPr>
        <w:t>lambda_closed_form(k)</w:t>
      </w:r>
      <w:r>
        <w:rPr>
          <w:rFonts w:ascii="Calibri" w:hAnsi="Calibri" w:eastAsia="Times New Roman" w:cs="Times New Roman"/>
          <w:sz w:val="21"/>
        </w:rPr>
        <w:t xml:space="preserve">, </w:t>
      </w:r>
      <w:r>
        <w:rPr>
          <w:rFonts w:ascii="Consolas" w:hAnsi="Consolas" w:eastAsia="Times New Roman" w:cs="Times New Roman"/>
          <w:sz w:val="21"/>
        </w:rPr>
        <w:t>signed7</w:t>
      </w:r>
      <w:r>
        <w:rPr>
          <w:rFonts w:ascii="Calibri" w:hAnsi="Calibri" w:eastAsia="Times New Roman" w:cs="Times New Roman"/>
          <w:sz w:val="21"/>
        </w:rPr>
        <w:t xml:space="preserve"> and </w:t>
      </w:r>
      <w:r>
        <w:rPr>
          <w:rFonts w:ascii="Consolas" w:hAnsi="Consolas" w:eastAsia="Times New Roman" w:cs="Times New Roman"/>
          <w:sz w:val="21"/>
        </w:rPr>
        <w:t>srw7</w:t>
      </w:r>
      <w:r>
        <w:rPr>
          <w:rFonts w:ascii="Calibri" w:hAnsi="Calibri" w:eastAsia="Times New Roman" w:cs="Times New Roman"/>
          <w:sz w:val="21"/>
        </w:rPr>
        <w:t xml:space="preserve"> holdout gains at k = 10/25/50/100/200 reproduced item-by-item with O11 (e.g., k = 10: +3.594 / +3.823 pp; k = 200: +0.111 / +0.138 pp), and the sign-correction behaviour (after correction fusion positively correlates with difficulty direction, Spearman +0.951).</w:t>
      </w:r>
    </w:p>
    <w:p>
      <w:pPr>
        <w:spacing w:after="120"/>
      </w:pPr>
      <w:r>
        <w:rPr>
          <w:rFonts w:ascii="Calibri" w:hAnsi="Calibri" w:eastAsia="Times New Roman" w:cs="Times New Roman"/>
          <w:b/>
          <w:sz w:val="21"/>
        </w:rPr>
        <w:t>One defect found and fixed by the verifier (stated honestly):</w:t>
      </w:r>
      <w:r>
        <w:rPr>
          <w:rFonts w:ascii="Calibri" w:hAnsi="Calibri" w:eastAsia="Times New Roman" w:cs="Times New Roman"/>
          <w:sz w:val="21"/>
        </w:rPr>
        <w:t xml:space="preserve"> </w:t>
      </w:r>
      <w:r>
        <w:rPr>
          <w:rFonts w:ascii="Consolas" w:hAnsi="Consolas" w:eastAsia="Times New Roman" w:cs="Times New Roman"/>
          <w:sz w:val="21"/>
        </w:rPr>
        <w:t>ecdf_logit()</w:t>
      </w:r>
      <w:r>
        <w:rPr>
          <w:rFonts w:ascii="Calibri" w:hAnsi="Calibri" w:eastAsia="Times New Roman" w:cs="Times New Roman"/>
          <w:sz w:val="21"/>
        </w:rPr>
        <w:t xml:space="preserve"> originally used </w:t>
      </w:r>
      <w:r>
        <w:rPr>
          <w:rFonts w:ascii="Consolas" w:hAnsi="Consolas" w:eastAsia="Times New Roman" w:cs="Times New Roman"/>
          <w:sz w:val="21"/>
        </w:rPr>
        <w:t>if not values:</w:t>
      </w:r>
      <w:r>
        <w:rPr>
          <w:rFonts w:ascii="Calibri" w:hAnsi="Calibri" w:eastAsia="Times New Roman" w:cs="Times New Roman"/>
          <w:sz w:val="21"/>
        </w:rPr>
        <w:t xml:space="preserve"> to check emptiness, which raises </w:t>
      </w:r>
      <w:r>
        <w:rPr>
          <w:rFonts w:ascii="Consolas" w:hAnsi="Consolas" w:eastAsia="Times New Roman" w:cs="Times New Roman"/>
          <w:sz w:val="21"/>
        </w:rPr>
        <w:t>ValueError: The truth value of an array with more than one element is ambiguous</w:t>
      </w:r>
      <w:r>
        <w:rPr>
          <w:rFonts w:ascii="Calibri" w:hAnsi="Calibri" w:eastAsia="Times New Roman" w:cs="Times New Roman"/>
          <w:sz w:val="21"/>
        </w:rPr>
        <w:t xml:space="preserve"> for numpy array input; now changed to first take </w:t>
      </w:r>
      <w:r>
        <w:rPr>
          <w:rFonts w:ascii="Consolas" w:hAnsi="Consolas" w:eastAsia="Times New Roman" w:cs="Times New Roman"/>
          <w:sz w:val="21"/>
        </w:rPr>
        <w:t>n = len(values)</w:t>
      </w:r>
      <w:r>
        <w:rPr>
          <w:rFonts w:ascii="Calibri" w:hAnsi="Calibri" w:eastAsia="Times New Roman" w:cs="Times New Roman"/>
          <w:sz w:val="21"/>
        </w:rPr>
        <w:t xml:space="preserve"> then </w:t>
      </w:r>
      <w:r>
        <w:rPr>
          <w:rFonts w:ascii="Consolas" w:hAnsi="Consolas" w:eastAsia="Times New Roman" w:cs="Times New Roman"/>
          <w:sz w:val="21"/>
        </w:rPr>
        <w:t>if n == 0: return []</w:t>
      </w:r>
      <w:r>
        <w:rPr>
          <w:rFonts w:ascii="Calibri" w:hAnsi="Calibri" w:eastAsia="Times New Roman" w:cs="Times New Roman"/>
          <w:sz w:val="21"/>
        </w:rPr>
        <w:t>, behaviour-identical for list input, changing no tested behaviour (</w:t>
      </w:r>
      <w:r>
        <w:rPr>
          <w:rFonts w:ascii="Consolas" w:hAnsi="Consolas" w:eastAsia="Times New Roman" w:cs="Times New Roman"/>
          <w:sz w:val="21"/>
        </w:rPr>
        <w:t>app/services/difficulty_fusion.py:63</w:t>
      </w:r>
      <w:r>
        <w:rPr>
          <w:rFonts w:ascii="Calibri" w:hAnsi="Calibri" w:eastAsia="Times New Roman" w:cs="Times New Roman"/>
          <w:sz w:val="21"/>
        </w:rPr>
        <w:t>).</w:t>
      </w:r>
    </w:p>
    <w:p>
      <w:pPr>
        <w:pStyle w:val="Heading2"/>
        <w:spacing w:before="120" w:after="80"/>
      </w:pPr>
      <w:r>
        <w:rPr>
          <w:rFonts w:ascii="Calibri" w:hAnsi="Calibri" w:eastAsia="Times New Roman" w:cs="Times New Roman"/>
          <w:sz w:val="27"/>
        </w:rPr>
        <w:t>9.3 Limitations</w:t>
      </w:r>
    </w:p>
    <w:p>
      <w:pPr>
        <w:spacing w:after="120"/>
      </w:pPr>
      <w:r>
        <w:rPr>
          <w:rFonts w:ascii="Calibri" w:hAnsi="Calibri" w:eastAsia="Times New Roman" w:cs="Times New Roman"/>
          <w:b/>
          <w:sz w:val="21"/>
        </w:rPr>
        <w:t>First, the causal side is executed but the result is negative.</w:t>
      </w:r>
      <w:r>
        <w:rPr>
          <w:rFonts w:ascii="Calibri" w:hAnsi="Calibri" w:eastAsia="Times New Roman" w:cs="Times New Roman"/>
          <w:sz w:val="21"/>
        </w:rPr>
        <w:t xml:space="preserve"> §8.3 lists it: the preregistered AIPW/DR was executed under a frozen identification strategy (2026-09-24), detected no internal optimum, μ(d) rises overall with dose, and the Junyi time-inverted negative control is significant—so this paper still contains no causal conclusion about the optimal error rate; all dose–response readings remain at the associational level.</w:t>
      </w:r>
    </w:p>
    <w:p>
      <w:pPr>
        <w:spacing w:after="120"/>
      </w:pPr>
      <w:r>
        <w:rPr>
          <w:rFonts w:ascii="Calibri" w:hAnsi="Calibri" w:eastAsia="Times New Roman" w:cs="Times New Roman"/>
          <w:b/>
          <w:sz w:val="21"/>
        </w:rPr>
        <w:t>Second, the criterion limitation of the fusion gain.</w:t>
      </w:r>
      <w:r>
        <w:rPr>
          <w:rFonts w:ascii="Calibri" w:hAnsi="Calibri" w:eastAsia="Times New Roman" w:cs="Times New Roman"/>
          <w:sz w:val="21"/>
        </w:rPr>
        <w:t xml:space="preserve"> All conclusions in §7 condition on the two specific criteria "expert difficulty labels" and "holdout performance." The validity gap "O7 splits records not students" was handled by O10's student-level holdout (§7.6)—the conclusion fully reproduces, so it is not a substantive threat. The remaining boundary is the criterion's own reliability ceiling (O7 block B fixed 250, O10 criterion half fixed response count), which limits the absolute level of all ρ; only </w:t>
      </w:r>
      <w:r>
        <w:rPr>
          <w:rFonts w:ascii="Calibri" w:hAnsi="Calibri" w:eastAsia="Times New Roman" w:cs="Times New Roman"/>
          <w:b/>
          <w:sz w:val="21"/>
        </w:rPr>
        <w:t>within-k between-group comparisons</w:t>
      </w:r>
      <w:r>
        <w:rPr>
          <w:rFonts w:ascii="Calibri" w:hAnsi="Calibri" w:eastAsia="Times New Roman" w:cs="Times New Roman"/>
          <w:sz w:val="21"/>
        </w:rPr>
        <w:t xml:space="preserve"> are valid.</w:t>
      </w:r>
    </w:p>
    <w:p>
      <w:pPr>
        <w:spacing w:after="120"/>
      </w:pPr>
      <w:r>
        <w:rPr>
          <w:rFonts w:ascii="Calibri" w:hAnsi="Calibri" w:eastAsia="Times New Roman" w:cs="Times New Roman"/>
          <w:b/>
          <w:sz w:val="21"/>
        </w:rPr>
        <w:t>Third, neither λ-shrinkage nor fusion optimisation is cross-system reproduced.</w:t>
      </w:r>
      <w:r>
        <w:rPr>
          <w:rFonts w:ascii="Calibri" w:hAnsi="Calibri" w:eastAsia="Times New Roman" w:cs="Times New Roman"/>
          <w:sz w:val="21"/>
        </w:rPr>
        <w:t xml:space="preserve"> λ-shrinkage is verified only on Junyi (which has downgrade-rate, repeat-session-rate signals), with no gain on DBE; the O11/O12 optimisation of §7.8 (sign correction + split-half-reliability weighting) is likewise </w:t>
      </w:r>
      <w:r>
        <w:rPr>
          <w:rFonts w:ascii="Calibri" w:hAnsi="Calibri" w:eastAsia="Times New Roman" w:cs="Times New Roman"/>
          <w:b/>
          <w:sz w:val="21"/>
        </w:rPr>
        <w:t>verified only on Junyi</w:t>
      </w:r>
      <w:r>
        <w:rPr>
          <w:rFonts w:ascii="Calibri" w:hAnsi="Calibri" w:eastAsia="Times New Roman" w:cs="Times New Roman"/>
          <w:sz w:val="21"/>
        </w:rPr>
        <w:t>, not cross-system reproduced. It must be re-verified before writing it into other systems.</w:t>
      </w:r>
    </w:p>
    <w:p>
      <w:pPr>
        <w:spacing w:after="120"/>
      </w:pPr>
      <w:r>
        <w:rPr>
          <w:rFonts w:ascii="Calibri" w:hAnsi="Calibri" w:eastAsia="Times New Roman" w:cs="Times New Roman"/>
          <w:b/>
          <w:sz w:val="21"/>
        </w:rPr>
        <w:t>Fourth, the suspect status of expert annotation itself.</w:t>
      </w:r>
      <w:r>
        <w:rPr>
          <w:rFonts w:ascii="Calibri" w:hAnsi="Calibri" w:eastAsia="Times New Roman" w:cs="Times New Roman"/>
          <w:sz w:val="21"/>
        </w:rPr>
        <w:t xml:space="preserve"> This paper uses expert labels as an acceptable criterion, but §7.1 measured their correlation with real-performance difficulty at only 0.4326. This means all comparisons anchored on expert labels (including O2, O4, O5, O6) inherit this limitation. We do not believe a better alternative criterion exists, but we also do not treat expert labels as "truth."</w:t>
      </w:r>
    </w:p>
    <w:p>
      <w:pPr>
        <w:spacing w:after="120"/>
      </w:pPr>
      <w:r>
        <w:rPr>
          <w:rFonts w:ascii="Calibri" w:hAnsi="Calibri" w:eastAsia="Times New Roman" w:cs="Times New Roman"/>
          <w:b/>
          <w:sz w:val="21"/>
        </w:rPr>
        <w:t>Fifth, data-licence constraints.</w:t>
      </w:r>
      <w:r>
        <w:rPr>
          <w:rFonts w:ascii="Calibri" w:hAnsi="Calibri" w:eastAsia="Times New Roman" w:cs="Times New Roman"/>
          <w:sz w:val="21"/>
        </w:rPr>
        <w:t xml:space="preserve"> Junyi is CC-BY-NC-SA-4.0, </w:t>
      </w:r>
      <w:r>
        <w:rPr>
          <w:rFonts w:ascii="Calibri" w:hAnsi="Calibri" w:eastAsia="Times New Roman" w:cs="Times New Roman"/>
          <w:b/>
          <w:sz w:val="21"/>
        </w:rPr>
        <w:t>commercial use prohibited</w:t>
      </w:r>
      <w:r>
        <w:rPr>
          <w:rFonts w:ascii="Calibri" w:hAnsi="Calibri" w:eastAsia="Times New Roman" w:cs="Times New Roman"/>
          <w:sz w:val="21"/>
        </w:rPr>
        <w:t>; all our analyses are offline, non-commercial, read-only research use. Before submission, the citation obligations of all four datasets must be verified item by item (assist09's Feng et al. 2009 and data page, DBE-KT22's arXiv:2208.12651 and ADA DOI, XES3G5M's NeurIPS 2023 and MIT licence, Junyi's Chang et al. 2015 and CC licence).</w:t>
      </w:r>
    </w:p>
    <w:p>
      <w:pPr>
        <w:spacing w:after="120"/>
      </w:pPr>
      <w:r>
        <w:rPr>
          <w:rFonts w:ascii="Calibri" w:hAnsi="Calibri" w:eastAsia="Times New Roman" w:cs="Times New Roman"/>
          <w:b/>
          <w:sz w:val="21"/>
        </w:rPr>
        <w:t>Sixth, the studied system's real deployment data is missing.</w:t>
      </w:r>
      <w:r>
        <w:rPr>
          <w:rFonts w:ascii="Calibri" w:hAnsi="Calibri" w:eastAsia="Times New Roman" w:cs="Times New Roman"/>
          <w:sz w:val="21"/>
        </w:rPr>
        <w:t xml:space="preserve"> Although the studied system is built and publicly archived, it has no logs produced by real users, so all our measurements rest on the four public datasets; the studied system's role in this paper is a concrete instance of "a class of implementations being criticised" and the carrier of code landing, not an empirical object.</w:t>
      </w:r>
    </w:p>
    <w:p>
      <w:pPr>
        <w:spacing w:after="120"/>
      </w:pPr>
      <w:r>
        <w:rPr>
          <w:rFonts w:ascii="Calibri" w:hAnsi="Calibri" w:eastAsia="Times New Roman" w:cs="Times New Roman"/>
          <w:b/>
          <w:sz w:val="21"/>
        </w:rPr>
        <w:t>Seventh, the learning-addiction-inclination measurement is unvalidated (mandatory disclosure).</w:t>
      </w:r>
      <w:r>
        <w:rPr>
          <w:rFonts w:ascii="Calibri" w:hAnsi="Calibri" w:eastAsia="Times New Roman" w:cs="Times New Roman"/>
          <w:sz w:val="21"/>
        </w:rPr>
        <w:t xml:space="preserve"> The Learning Addiction Index (LAI) built into the studied system is self-constructed by this project, with five-dimensional weights time 30% / motivation 25% / control 25% / cognitive 10% / function 10%, of which "control + function" totalling 35% is supplied by the self-report measurement layer (instrument catalogue </w:t>
      </w:r>
      <w:r>
        <w:rPr>
          <w:rFonts w:ascii="Consolas" w:hAnsi="Consolas" w:eastAsia="Times New Roman" w:cs="Times New Roman"/>
          <w:sz w:val="21"/>
        </w:rPr>
        <w:t>instrument_catalog.py</w:t>
      </w:r>
      <w:r>
        <w:rPr>
          <w:rFonts w:ascii="Calibri" w:hAnsi="Calibri" w:eastAsia="Times New Roman" w:cs="Times New Roman"/>
          <w:sz w:val="21"/>
        </w:rPr>
        <w:t xml:space="preserve">'s SRL-STOP / SLEEP-IMPACT / SOCIAL-IMPACT / TIME-BIAS); dimensions not measured are not counted into the weighting and output </w:t>
      </w:r>
      <w:r>
        <w:rPr>
          <w:rFonts w:ascii="Consolas" w:hAnsi="Consolas" w:eastAsia="Times New Roman" w:cs="Times New Roman"/>
          <w:sz w:val="21"/>
        </w:rPr>
        <w:t>coverage</w:t>
      </w:r>
      <w:r>
        <w:rPr>
          <w:rFonts w:ascii="Calibri" w:hAnsi="Calibri" w:eastAsia="Times New Roman" w:cs="Times New Roman"/>
          <w:sz w:val="21"/>
        </w:rPr>
        <w:t xml:space="preserve"> for disclosure, never silently scoring "healthy." </w:t>
      </w:r>
      <w:r>
        <w:rPr>
          <w:rFonts w:ascii="Calibri" w:hAnsi="Calibri" w:eastAsia="Times New Roman" w:cs="Times New Roman"/>
          <w:b/>
          <w:sz w:val="21"/>
        </w:rPr>
        <w:t>It must be emphasised</w:t>
      </w:r>
      <w:r>
        <w:rPr>
          <w:rFonts w:ascii="Calibri" w:hAnsi="Calibri" w:eastAsia="Times New Roman" w:cs="Times New Roman"/>
          <w:sz w:val="21"/>
        </w:rPr>
        <w:t xml:space="preserve"> that this scale's items are self-authored by this project, not yet validated for reliability and validity, with no norm and no clinical cutoff, a work-in-progress instrument. </w:t>
      </w:r>
      <w:r>
        <w:rPr>
          <w:rFonts w:ascii="Calibri" w:hAnsi="Calibri" w:eastAsia="Times New Roman" w:cs="Times New Roman"/>
          <w:b/>
          <w:sz w:val="21"/>
        </w:rPr>
        <w:t>This paper did NOT use LAI for any analysis</w:t>
      </w:r>
      <w:r>
        <w:rPr>
          <w:rFonts w:ascii="Calibri" w:hAnsi="Calibri" w:eastAsia="Times New Roman" w:cs="Times New Roman"/>
          <w:sz w:val="21"/>
        </w:rPr>
        <w:t xml:space="preserve">—all our data come from the four public datasets and contain no self-report scale data; this disclosure only explains the tool's status to prevent readers from assuming the system already has a validated problematic-use measurement capability. The mitigation path is three-pronged and </w:t>
      </w:r>
      <w:r>
        <w:rPr>
          <w:rFonts w:ascii="Calibri" w:hAnsi="Calibri" w:eastAsia="Times New Roman" w:cs="Times New Roman"/>
          <w:b/>
          <w:sz w:val="21"/>
        </w:rPr>
        <w:t>none completed</w:t>
      </w:r>
      <w:r>
        <w:rPr>
          <w:rFonts w:ascii="Calibri" w:hAnsi="Calibri" w:eastAsia="Times New Roman" w:cs="Times New Roman"/>
          <w:sz w:val="21"/>
        </w:rPr>
        <w:t>: ① use public validated scales as convergent-validity anchors (BStAS 5 items, Atroszko et al., 2025; SI-10, Loscalzo et al., 2024; Chinese Adolescent Learning Burnout Scale, Wu et al., 2010); ② complete a minimal reliability/validity set (α/ω + EFA→CFA + 2-week retest ICC + correlation with burnout/anxiety); ③ convergent validity between self-report scores and behavioural logs.</w:t>
      </w:r>
    </w:p>
    <w:p>
      <w:pPr>
        <w:spacing w:after="120"/>
      </w:pPr>
      <w:r>
        <w:rPr>
          <w:rFonts w:ascii="Calibri" w:hAnsi="Calibri" w:eastAsia="Times New Roman" w:cs="Times New Roman"/>
          <w:b/>
          <w:sz w:val="21"/>
        </w:rPr>
        <w:t>Eighth (honest negative results as a methodological contribution).</w:t>
      </w:r>
      <w:r>
        <w:rPr>
          <w:rFonts w:ascii="Calibri" w:hAnsi="Calibri" w:eastAsia="Times New Roman" w:cs="Times New Roman"/>
          <w:sz w:val="21"/>
        </w:rPr>
        <w:t xml:space="preserve"> Reporting "unmet expectations / unexecuted" honestly rather than dressing them up as successes is itself a demonstration of the "preregister–executable–testable" research paradigm, with independent methodological value. Specifically: (a) the causal side executed under a frozen identification strategy yielded a </w:t>
      </w:r>
      <w:r>
        <w:rPr>
          <w:rFonts w:ascii="Calibri" w:hAnsi="Calibri" w:eastAsia="Times New Roman" w:cs="Times New Roman"/>
          <w:b/>
          <w:sz w:val="21"/>
        </w:rPr>
        <w:t>negative result</w:t>
      </w:r>
      <w:r>
        <w:rPr>
          <w:rFonts w:ascii="Calibri" w:hAnsi="Calibri" w:eastAsia="Times New Roman" w:cs="Times New Roman"/>
          <w:sz w:val="21"/>
        </w:rPr>
        <w:t xml:space="preserve">—no detected internal optimum in the preregistered sense, and a significant Junyi time-inverted negative control, all dose–response readings downgraded to associational evidence (§8.3), which instead strengthens the separation of "difficulty can be well-definedly fused" from "causal identification of the optimal error rate is not yet supported"; (b) of the seven preregistered hypotheses, </w:t>
      </w:r>
      <w:r>
        <w:rPr>
          <w:rFonts w:ascii="Calibri" w:hAnsi="Calibri" w:eastAsia="Times New Roman" w:cs="Times New Roman"/>
          <w:b/>
          <w:sz w:val="21"/>
        </w:rPr>
        <w:t>H2 is only partially tested, H3 and H7 unexecuted</w:t>
      </w:r>
      <w:r>
        <w:rPr>
          <w:rFonts w:ascii="Calibri" w:hAnsi="Calibri" w:eastAsia="Times New Roman" w:cs="Times New Roman"/>
          <w:sz w:val="21"/>
        </w:rPr>
        <w:t xml:space="preserve"> (§8.4), and we do not recast them as supportive conclusions; (c) the </w:t>
      </w:r>
      <w:r>
        <w:rPr>
          <w:rFonts w:ascii="Consolas" w:hAnsi="Consolas" w:eastAsia="Times New Roman" w:cs="Times New Roman"/>
          <w:sz w:val="21"/>
        </w:rPr>
        <w:t>srw7</w:t>
      </w:r>
      <w:r>
        <w:rPr>
          <w:rFonts w:ascii="Calibri" w:hAnsi="Calibri" w:eastAsia="Times New Roman" w:cs="Times New Roman"/>
          <w:sz w:val="21"/>
        </w:rPr>
        <w:t xml:space="preserve"> fusion optimisation and direction correction (O8/O11/O12) are </w:t>
      </w:r>
      <w:r>
        <w:rPr>
          <w:rFonts w:ascii="Calibri" w:hAnsi="Calibri" w:eastAsia="Times New Roman" w:cs="Times New Roman"/>
          <w:b/>
          <w:sz w:val="21"/>
        </w:rPr>
        <w:t>verified only on Junyi, not cross-system reproduced</w:t>
      </w:r>
      <w:r>
        <w:rPr>
          <w:rFonts w:ascii="Calibri" w:hAnsi="Calibri" w:eastAsia="Times New Roman" w:cs="Times New Roman"/>
          <w:sz w:val="21"/>
        </w:rPr>
        <w:t xml:space="preserve"> (§7.7, 7.8, and 9.3). These boundaries do not negate this paper's engineering-methodological contributions: the quantile-logit metric's invariant and the criterion dependence of the fusion gain are reproduced on more than two systems; while the above negative results, preregistration gaps, and single-system verification jointly demarcate the method's applicability boundary, which readers should use to calibrate expectations of extrapolation. Accordingly, this paper submits "honest negative results" as one of its contributions, consistent with the reception orientation of the target journals (IEEE TLT / IJAIED / JEDM) toward methodological and reproducibility research.</w:t>
      </w:r>
    </w:p>
    <w:p>
      <w:pPr>
        <w:spacing w:after="120"/>
      </w:pPr>
      <w:r>
        <w:rPr>
          <w:rFonts w:ascii="Calibri" w:hAnsi="Calibri" w:eastAsia="Times New Roman" w:cs="Times New Roman"/>
          <w:b/>
          <w:sz w:val="21"/>
        </w:rPr>
        <w:t>Ninth (scope of the methodological contribution: cross-system gain pending).</w:t>
      </w:r>
      <w:r>
        <w:rPr>
          <w:rFonts w:ascii="Calibri" w:hAnsi="Calibri" w:eastAsia="Times New Roman" w:cs="Times New Roman"/>
          <w:sz w:val="21"/>
        </w:rPr>
        <w:t xml:space="preserve"> The engineering-methodological contribution must be clearly separated from "cross-system gain." §7 already shows: on DBE-KT22 the fusion gain is only marginally significant (one-sided p = 0.059) and negative after criterion switch, and Junyi is the only system so far that reproduces and verifies the fusion gain; </w:t>
      </w:r>
      <w:r>
        <w:rPr>
          <w:rFonts w:ascii="Consolas" w:hAnsi="Consolas" w:eastAsia="Times New Roman" w:cs="Times New Roman"/>
          <w:sz w:val="21"/>
        </w:rPr>
        <w:t>srw7</w:t>
      </w:r>
      <w:r>
        <w:rPr>
          <w:rFonts w:ascii="Calibri" w:hAnsi="Calibri" w:eastAsia="Times New Roman" w:cs="Times New Roman"/>
          <w:sz w:val="21"/>
        </w:rPr>
        <w:t xml:space="preserve"> (sign correction + split-half-reliability weighting) and the §7.3 direction-error correction are </w:t>
      </w:r>
      <w:r>
        <w:rPr>
          <w:rFonts w:ascii="Calibri" w:hAnsi="Calibri" w:eastAsia="Times New Roman" w:cs="Times New Roman"/>
          <w:b/>
          <w:sz w:val="21"/>
        </w:rPr>
        <w:t>verified methods</w:t>
      </w:r>
      <w:r>
        <w:rPr>
          <w:rFonts w:ascii="Calibri" w:hAnsi="Calibri" w:eastAsia="Times New Roman" w:cs="Times New Roman"/>
          <w:sz w:val="21"/>
        </w:rPr>
        <w:t xml:space="preserve">, but their </w:t>
      </w:r>
      <w:r>
        <w:rPr>
          <w:rFonts w:ascii="Calibri" w:hAnsi="Calibri" w:eastAsia="Times New Roman" w:cs="Times New Roman"/>
          <w:b/>
          <w:sz w:val="21"/>
        </w:rPr>
        <w:t>cross-system gain remains to be proven (cross-system gain pending)</w:t>
      </w:r>
      <w:r>
        <w:rPr>
          <w:rFonts w:ascii="Calibri" w:hAnsi="Calibri" w:eastAsia="Times New Roman" w:cs="Times New Roman"/>
          <w:sz w:val="21"/>
        </w:rPr>
        <w:t xml:space="preserve">. Therefore this paper's contribution positioning is "method + single-system (Junyi) verification + honest boundary on cross-system extrapolation," not an already-proven cross-system improvement; readers must re-verify on their own system's data before writing </w:t>
      </w:r>
      <w:r>
        <w:rPr>
          <w:rFonts w:ascii="Consolas" w:hAnsi="Consolas" w:eastAsia="Times New Roman" w:cs="Times New Roman"/>
          <w:sz w:val="21"/>
        </w:rPr>
        <w:t>srw7</w:t>
      </w:r>
      <w:r>
        <w:rPr>
          <w:rFonts w:ascii="Calibri" w:hAnsi="Calibri" w:eastAsia="Times New Roman" w:cs="Times New Roman"/>
          <w:sz w:val="21"/>
        </w:rPr>
        <w:t xml:space="preserve"> into other systems.</w:t>
      </w:r>
    </w:p>
    <w:p>
      <w:pPr>
        <w:pStyle w:val="Heading2"/>
        <w:spacing w:before="120" w:after="80"/>
      </w:pPr>
      <w:r>
        <w:rPr>
          <w:rFonts w:ascii="Calibri" w:hAnsi="Calibri" w:eastAsia="Times New Roman" w:cs="Times New Roman"/>
          <w:sz w:val="27"/>
        </w:rPr>
        <w:t>9.4 One practical recommendation</w:t>
      </w:r>
    </w:p>
    <w:p>
      <w:pPr>
        <w:spacing w:after="120"/>
      </w:pPr>
      <w:r>
        <w:rPr>
          <w:rFonts w:ascii="Calibri" w:hAnsi="Calibri" w:eastAsia="Times New Roman" w:cs="Times New Roman"/>
          <w:sz w:val="21"/>
        </w:rPr>
        <w:t xml:space="preserve">Synthesising §5.3, §7.3, §7.7, and §7.8, this paper's practical recommendation for the difficulty-fusion module is one sentence: </w:t>
      </w:r>
      <w:r>
        <w:rPr>
          <w:rFonts w:ascii="Calibri" w:hAnsi="Calibri" w:eastAsia="Times New Roman" w:cs="Times New Roman"/>
          <w:b/>
          <w:sz w:val="21"/>
        </w:rPr>
        <w:t>first switch the metric to quantile logit (unconditional), then decide whether to enable multi-signal fusion by sample size (conditional), and before enabling, do direction correction per signal rather than simple deletion (mandatory).</w:t>
      </w:r>
      <w:r>
        <w:rPr>
          <w:rFonts w:ascii="Calibri" w:hAnsi="Calibri" w:eastAsia="Times New Roman" w:cs="Times New Roman"/>
          <w:sz w:val="21"/>
        </w:rPr>
        <w:t xml:space="preserve"> The first item's gain is largest and depends on no tuning; the second item's gain approaches zero when observations per item ≥100; the third is a </w:t>
      </w:r>
      <w:r>
        <w:rPr>
          <w:rFonts w:ascii="Calibri" w:hAnsi="Calibri" w:eastAsia="Times New Roman" w:cs="Times New Roman"/>
          <w:b/>
          <w:sz w:val="21"/>
        </w:rPr>
        <w:t>directional-configuration error</w:t>
      </w:r>
      <w:r>
        <w:rPr>
          <w:rFonts w:ascii="Calibri" w:hAnsi="Calibri" w:eastAsia="Times New Roman" w:cs="Times New Roman"/>
          <w:sz w:val="21"/>
        </w:rPr>
        <w:t xml:space="preserve">—§7.8 shows that deleting a directionally wrong signal column-wise (O8's fused6) discards its effective information, while correcting its direction (counting it as negative evidence) is instead superior, i.e., </w:t>
      </w:r>
      <w:r>
        <w:rPr>
          <w:rFonts w:ascii="Calibri" w:hAnsi="Calibri" w:eastAsia="Times New Roman" w:cs="Times New Roman"/>
          <w:b/>
          <w:sz w:val="21"/>
        </w:rPr>
        <w:t>correction beats deletion</w:t>
      </w:r>
      <w:r>
        <w:rPr>
          <w:rFonts w:ascii="Calibri" w:hAnsi="Calibri" w:eastAsia="Times New Roman" w:cs="Times New Roman"/>
          <w:sz w:val="21"/>
        </w:rPr>
        <w:t>.</w:t>
      </w:r>
    </w:p>
    <w:p>
      <w:pPr>
        <w:pStyle w:val="Heading1"/>
        <w:spacing w:before="200" w:after="80"/>
      </w:pPr>
      <w:r>
        <w:rPr>
          <w:rFonts w:ascii="Calibri" w:hAnsi="Calibri" w:eastAsia="Times New Roman" w:cs="Times New Roman"/>
          <w:sz w:val="32"/>
        </w:rPr>
        <w:t>10 Honest Gap Inventory</w:t>
      </w:r>
    </w:p>
    <w:p>
      <w:pPr>
        <w:pStyle w:val="ListNumber"/>
        <w:spacing w:after="40"/>
      </w:pPr>
      <w:r>
        <w:rPr>
          <w:rFonts w:ascii="Calibri" w:hAnsi="Calibri" w:eastAsia="Times New Roman" w:cs="Times New Roman"/>
          <w:b/>
          <w:sz w:val="21"/>
        </w:rPr>
        <w:t>Causal side executed, result negative (2026-09-24):</w:t>
      </w:r>
      <w:r>
        <w:rPr>
          <w:rFonts w:ascii="Calibri" w:hAnsi="Calibri" w:eastAsia="Times New Roman" w:cs="Times New Roman"/>
          <w:sz w:val="21"/>
        </w:rPr>
        <w:t xml:space="preserve"> the preregistered AIPW/DR, dose–response estimation, and negative control were executed under a frozen identification strategy (§8.3); result is no detected internal optimum, significant Junyi negative control (downgraded to associational evidence). Still unexecuted: E-value, the formal ordering test of the five premises, the P-pos-2 simulation-arm control.</w:t>
      </w:r>
    </w:p>
    <w:p>
      <w:pPr>
        <w:pStyle w:val="ListNumber"/>
        <w:spacing w:after="40"/>
      </w:pPr>
      <w:r>
        <w:rPr>
          <w:rFonts w:ascii="Calibri" w:hAnsi="Calibri" w:eastAsia="Times New Roman" w:cs="Times New Roman"/>
          <w:b/>
          <w:sz w:val="21"/>
        </w:rPr>
        <w:t>H2 / H3 not executed per original caliber:</w:t>
      </w:r>
      <w:r>
        <w:rPr>
          <w:rFonts w:ascii="Calibri" w:hAnsi="Calibri" w:eastAsia="Times New Roman" w:cs="Times New Roman"/>
          <w:sz w:val="21"/>
        </w:rPr>
        <w:t xml:space="preserve"> ECE, Brier, reliability diagram, and 85% target-hit rate not computed; four-source calibration-error ordering not tested (§8.4).</w:t>
      </w:r>
    </w:p>
    <w:p>
      <w:pPr>
        <w:pStyle w:val="ListNumber"/>
        <w:spacing w:after="40"/>
      </w:pPr>
      <w:r>
        <w:rPr>
          <w:rFonts w:ascii="Calibri" w:hAnsi="Calibri" w:eastAsia="Times New Roman" w:cs="Times New Roman"/>
          <w:b/>
          <w:sz w:val="21"/>
        </w:rPr>
        <w:t>The record-level-holdout validity gap was handled by O10's student-level holdout</w:t>
      </w:r>
      <w:r>
        <w:rPr>
          <w:rFonts w:ascii="Calibri" w:hAnsi="Calibri" w:eastAsia="Times New Roman" w:cs="Times New Roman"/>
          <w:sz w:val="21"/>
        </w:rPr>
        <w:t xml:space="preserve"> (§7.6): conclusion fully reproduces, the "record-level rather than student-level" concern is tested to have little effect. Remaining boundary: gain decays to ≤0.34 pp for k ≥ 100 (student-level </w:t>
      </w:r>
      <w:r>
        <w:rPr>
          <w:rFonts w:ascii="Consolas" w:hAnsi="Consolas" w:eastAsia="Times New Roman" w:cs="Times New Roman"/>
          <w:sz w:val="21"/>
        </w:rPr>
        <w:t>srw7</w:t>
      </w:r>
      <w:r>
        <w:rPr>
          <w:rFonts w:ascii="Calibri" w:hAnsi="Calibri" w:eastAsia="Times New Roman" w:cs="Times New Roman"/>
          <w:sz w:val="21"/>
        </w:rPr>
        <w:t xml:space="preserve"> caliber: k = 100 is +0.335 pp, k = 200 is +0.102 pp; record-level +0.391 / +0.138 pp) and λ-shrinkage not reproduced on DBE (§7.7).</w:t>
      </w:r>
    </w:p>
    <w:p>
      <w:pPr>
        <w:pStyle w:val="ListNumber"/>
        <w:spacing w:after="40"/>
      </w:pPr>
      <w:r>
        <w:rPr>
          <w:rFonts w:ascii="Calibri" w:hAnsi="Calibri" w:eastAsia="Times New Roman" w:cs="Times New Roman"/>
          <w:b/>
          <w:sz w:val="21"/>
        </w:rPr>
        <w:t>λ-shrinkage not reproduced on DBE</w:t>
      </w:r>
      <w:r>
        <w:rPr>
          <w:rFonts w:ascii="Calibri" w:hAnsi="Calibri" w:eastAsia="Times New Roman" w:cs="Times New Roman"/>
          <w:sz w:val="21"/>
        </w:rPr>
        <w:t xml:space="preserve"> (§7.5).</w:t>
      </w:r>
    </w:p>
    <w:p>
      <w:pPr>
        <w:pStyle w:val="ListNumber"/>
        <w:spacing w:after="40"/>
      </w:pPr>
      <w:r>
        <w:rPr>
          <w:rFonts w:ascii="Calibri" w:hAnsi="Calibri" w:eastAsia="Times New Roman" w:cs="Times New Roman"/>
          <w:b/>
          <w:sz w:val="21"/>
        </w:rPr>
        <w:t>O11/O12 optimisation not cross-system reproduced:</w:t>
      </w:r>
      <w:r>
        <w:rPr>
          <w:rFonts w:ascii="Calibri" w:hAnsi="Calibri" w:eastAsia="Times New Roman" w:cs="Times New Roman"/>
          <w:sz w:val="21"/>
        </w:rPr>
        <w:t xml:space="preserve"> the recommended estimator </w:t>
      </w:r>
      <w:r>
        <w:rPr>
          <w:rFonts w:ascii="Consolas" w:hAnsi="Consolas" w:eastAsia="Times New Roman" w:cs="Times New Roman"/>
          <w:sz w:val="21"/>
        </w:rPr>
        <w:t>estimate_optimized_difficulty</w:t>
      </w:r>
      <w:r>
        <w:rPr>
          <w:rFonts w:ascii="Calibri" w:hAnsi="Calibri" w:eastAsia="Times New Roman" w:cs="Times New Roman"/>
          <w:sz w:val="21"/>
        </w:rPr>
        <w:t xml:space="preserve"> (sign correction + split-half-reliability weighting + λ-shrinkage) has been </w:t>
      </w:r>
      <w:r>
        <w:rPr>
          <w:rFonts w:ascii="Calibri" w:hAnsi="Calibri" w:eastAsia="Times New Roman" w:cs="Times New Roman"/>
          <w:b/>
          <w:sz w:val="21"/>
        </w:rPr>
        <w:t>incrementally landed</w:t>
      </w:r>
      <w:r>
        <w:rPr>
          <w:rFonts w:ascii="Calibri" w:hAnsi="Calibri" w:eastAsia="Times New Roman" w:cs="Times New Roman"/>
          <w:sz w:val="21"/>
        </w:rPr>
        <w:t xml:space="preserve"> to the repo code (this landing does not change the test count, currently 972 full), its correctness guaranteed by the external verification script </w:t>
      </w:r>
      <w:r>
        <w:rPr>
          <w:rFonts w:ascii="Consolas" w:hAnsi="Consolas" w:eastAsia="Times New Roman" w:cs="Times New Roman"/>
          <w:sz w:val="21"/>
        </w:rPr>
        <w:t>results/code/o11_land_verify.py</w:t>
      </w:r>
      <w:r>
        <w:rPr>
          <w:rFonts w:ascii="Calibri" w:hAnsi="Calibri" w:eastAsia="Times New Roman" w:cs="Times New Roman"/>
          <w:sz w:val="21"/>
        </w:rPr>
        <w:t xml:space="preserve"> (15/15 PASS) (§9.2); but this optimisation is verified only on Junyi, not cross-system reproduced (§9.3).</w:t>
      </w:r>
    </w:p>
    <w:p>
      <w:pPr>
        <w:pStyle w:val="ListNumber"/>
        <w:spacing w:after="40"/>
      </w:pPr>
      <w:r>
        <w:rPr>
          <w:rFonts w:ascii="Calibri" w:hAnsi="Calibri" w:eastAsia="Times New Roman" w:cs="Times New Roman"/>
          <w:b/>
          <w:sz w:val="21"/>
        </w:rPr>
        <w:t>Expert-label-criterion reliability not independently estimated:</w:t>
      </w:r>
      <w:r>
        <w:rPr>
          <w:rFonts w:ascii="Calibri" w:hAnsi="Calibri" w:eastAsia="Times New Roman" w:cs="Times New Roman"/>
          <w:sz w:val="21"/>
        </w:rPr>
        <w:t xml:space="preserve"> this paper obtained no inter-rater reliability of the expert annotation; all uncertainty of the 0.4326 distance is attributed to the single realisation of the expert labels.</w:t>
      </w:r>
    </w:p>
    <w:p>
      <w:pPr>
        <w:pStyle w:val="ListNumber"/>
        <w:spacing w:after="40"/>
      </w:pPr>
      <w:r>
        <w:rPr>
          <w:rFonts w:ascii="Calibri" w:hAnsi="Calibri" w:eastAsia="Times New Roman" w:cs="Times New Roman"/>
          <w:b/>
          <w:sz w:val="21"/>
        </w:rPr>
        <w:t>assist09 sliding-window analysis uses the "one row per student-problem" revised version;</w:t>
      </w:r>
      <w:r>
        <w:rPr>
          <w:rFonts w:ascii="Calibri" w:hAnsi="Calibri" w:eastAsia="Times New Roman" w:cs="Times New Roman"/>
          <w:sz w:val="21"/>
        </w:rPr>
        <w:t xml:space="preserve"> help-recording semantics (tutor semantics) handled per the official caliber, possibly differing from some secondary literature.</w:t>
      </w:r>
    </w:p>
    <w:p>
      <w:pPr>
        <w:pStyle w:val="ListNumber"/>
        <w:spacing w:after="40"/>
      </w:pPr>
      <w:r>
        <w:rPr>
          <w:rFonts w:ascii="Calibri" w:hAnsi="Calibri" w:eastAsia="Times New Roman" w:cs="Times New Roman"/>
          <w:b/>
          <w:sz w:val="21"/>
        </w:rPr>
        <w:t>The synthetic experiment's most-favourable environment:</w:t>
      </w:r>
      <w:r>
        <w:rPr>
          <w:rFonts w:ascii="Calibri" w:hAnsi="Calibri" w:eastAsia="Times New Roman" w:cs="Times New Roman"/>
          <w:sz w:val="21"/>
        </w:rPr>
        <w:t xml:space="preserve"> the four sources sharing one latent variable is the most favourable setting for the proposition to hold (§4.6).</w:t>
      </w:r>
    </w:p>
    <w:p>
      <w:pPr>
        <w:pStyle w:val="ListNumber"/>
        <w:spacing w:after="40"/>
      </w:pPr>
      <w:r>
        <w:rPr>
          <w:rFonts w:ascii="Calibri" w:hAnsi="Calibri" w:eastAsia="Times New Roman" w:cs="Times New Roman"/>
          <w:b/>
          <w:sz w:val="21"/>
        </w:rPr>
        <w:t>Data licences not legally verified item by item:</w:t>
      </w:r>
      <w:r>
        <w:rPr>
          <w:rFonts w:ascii="Calibri" w:hAnsi="Calibri" w:eastAsia="Times New Roman" w:cs="Times New Roman"/>
          <w:sz w:val="21"/>
        </w:rPr>
        <w:t xml:space="preserve"> the citation obligations and commercial restrictions of the four datasets follow official pages and must be closed before submission.</w:t>
      </w:r>
    </w:p>
    <w:p>
      <w:pPr>
        <w:pStyle w:val="ListNumber"/>
        <w:spacing w:after="40"/>
      </w:pPr>
      <w:r>
        <w:rPr>
          <w:rFonts w:ascii="Calibri" w:hAnsi="Calibri" w:eastAsia="Times New Roman" w:cs="Times New Roman"/>
          <w:b/>
          <w:sz w:val="21"/>
        </w:rPr>
        <w:t>LAI unvalidated and not used in this paper</w:t>
      </w:r>
      <w:r>
        <w:rPr>
          <w:rFonts w:ascii="Calibri" w:hAnsi="Calibri" w:eastAsia="Times New Roman" w:cs="Times New Roman"/>
          <w:sz w:val="21"/>
        </w:rPr>
        <w:t xml:space="preserve"> (§9.3 seventh point); all three mitigation paths unfinished.</w:t>
      </w:r>
    </w:p>
    <w:p>
      <w:pPr>
        <w:pStyle w:val="Heading1"/>
        <w:spacing w:before="200" w:after="80"/>
      </w:pPr>
      <w:r>
        <w:rPr>
          <w:rFonts w:ascii="Calibri" w:hAnsi="Calibri" w:eastAsia="Times New Roman" w:cs="Times New Roman"/>
          <w:sz w:val="32"/>
        </w:rPr>
        <w:t>11 Conclusions</w:t>
      </w:r>
    </w:p>
    <w:p>
      <w:pPr>
        <w:spacing w:after="120"/>
      </w:pPr>
      <w:r>
        <w:rPr>
          <w:rFonts w:ascii="Calibri" w:hAnsi="Calibri" w:eastAsia="Times New Roman" w:cs="Times New Roman"/>
          <w:sz w:val="21"/>
        </w:rPr>
        <w:t xml:space="preserve">This paper rewrote the question "can difficulty be measured on one common scale," which engineering practice had skipped, into a falsifiable measurement proposition, and gave results on synthetic data and four public learning-log corpora. </w:t>
      </w:r>
      <w:r>
        <w:rPr>
          <w:rFonts w:ascii="Calibri" w:hAnsi="Calibri" w:eastAsia="Times New Roman" w:cs="Times New Roman"/>
          <w:b/>
          <w:sz w:val="21"/>
        </w:rPr>
        <w:t>The caliber must be stated first:</w:t>
      </w:r>
      <w:r>
        <w:rPr>
          <w:rFonts w:ascii="Calibri" w:hAnsi="Calibri" w:eastAsia="Times New Roman" w:cs="Times New Roman"/>
          <w:sz w:val="21"/>
        </w:rPr>
        <w:t xml:space="preserve"> the </w:t>
      </w:r>
      <w:r>
        <w:rPr>
          <w:rFonts w:ascii="Calibri" w:hAnsi="Calibri" w:eastAsia="Times New Roman" w:cs="Times New Roman"/>
          <w:b/>
          <w:sz w:val="21"/>
        </w:rPr>
        <w:t>real-data test of proposition C1 was completed at only one real system, assist09</w:t>
      </w:r>
      <w:r>
        <w:rPr>
          <w:rFonts w:ascii="Calibri" w:hAnsi="Calibri" w:eastAsia="Times New Roman" w:cs="Times New Roman"/>
          <w:sz w:val="21"/>
        </w:rPr>
        <w:t xml:space="preserve"> (994 items); the Junyi, DBE-KT22, and XES3G5M datasets bear the multi-signal-fusion consistency experiment, the expert-annotation experiment, and the knowledge-tree / ordered-transition experiment, and </w:t>
      </w:r>
      <w:r>
        <w:rPr>
          <w:rFonts w:ascii="Calibri" w:hAnsi="Calibri" w:eastAsia="Times New Roman" w:cs="Times New Roman"/>
          <w:b/>
          <w:sz w:val="21"/>
        </w:rPr>
        <w:t>do not constitute a test of C1</w:t>
      </w:r>
      <w:r>
        <w:rPr>
          <w:rFonts w:ascii="Calibri" w:hAnsi="Calibri" w:eastAsia="Times New Roman" w:cs="Times New Roman"/>
          <w:sz w:val="21"/>
        </w:rPr>
        <w:t xml:space="preserve"> (see the title-caliber note at the front). The instability proposition holds: linear [0,1] fusion's effective weights equal neither the nominal weights (π₁ = 0.532 vs. w₁ = 0.40) nor themselves under monotone reparameterisation (nonlinear monotone L1 = 0.1276, 36.4% cell rank reversal, strongest counterexample complete sign reversal), while the quantile-logit metric is strictly invariant to it (0 under shared calibration, 0.016 sampling noise under independent calibration); on assist09's 994 items, the real drift falls from 0.5357 to 0.0001. Multi-signal fusion does raise consistency with expert difficulty labels (DBE 0.2207 → 0.2918, repeated-cross-validation optimised weights 0.5240 ± 0.1069; Junyi 0.2610 → 0.3629, repeated cross-validation 0.4023 ± 0.0480), driven by a "self-reported difficulty high and trust low" differential feature; but the rank correlation between expert labels and real-performance difficulty is only 0.4326, and after switching the criterion to holdout performance, fusion is worse than success rate alone at every sample size on both datasets, with win rate 0.00—these gains are consistency gains, not predictive-power improvement. We further located a directional error in the fusion configuration and proposed sample-size-adaptive shrinkage, whose gain reaches +3.43 percentage points at k = 10 (O8 caliber) and decays below 0.22 percentage points for k ≥ 100, and is not reproduced on DBE. Further optimisation of the fusion estimator itself (sign correction + split-half-reliability weighting, </w:t>
      </w:r>
      <w:r>
        <w:rPr>
          <w:rFonts w:ascii="Consolas" w:hAnsi="Consolas" w:eastAsia="Times New Roman" w:cs="Times New Roman"/>
          <w:sz w:val="21"/>
        </w:rPr>
        <w:t>srw7</w:t>
      </w:r>
      <w:r>
        <w:rPr>
          <w:rFonts w:ascii="Calibri" w:hAnsi="Calibri" w:eastAsia="Times New Roman" w:cs="Times New Roman"/>
          <w:sz w:val="21"/>
        </w:rPr>
        <w:t xml:space="preserve">) was doubly validated at record-level and student-level holdout: non-inferior to success-rate-only at every sample size, and consistently better than fused6 which only deletes. Finally, this paper reports that the single-value mode of the assist09 sliding-window error-rate distribution is </w:t>
      </w:r>
      <w:r>
        <w:rPr>
          <w:rFonts w:ascii="Calibri" w:hAnsi="Calibri" w:eastAsia="Times New Roman" w:cs="Times New Roman"/>
          <w:b/>
          <w:sz w:val="21"/>
        </w:rPr>
        <w:t>error rate 0.25 (success rate 75%)</w:t>
      </w:r>
      <w:r>
        <w:rPr>
          <w:rFonts w:ascii="Calibri" w:hAnsi="Calibri" w:eastAsia="Times New Roman" w:cs="Times New Roman"/>
          <w:sz w:val="21"/>
        </w:rPr>
        <w:t xml:space="preserve"> (n = 286,150 windows; 21 discrete support points; the 80–85% success band occupies only 19.64%), and explicitly states that this descriptive evidence </w:t>
      </w:r>
      <w:r>
        <w:rPr>
          <w:rFonts w:ascii="Calibri" w:hAnsi="Calibri" w:eastAsia="Times New Roman" w:cs="Times New Roman"/>
          <w:b/>
          <w:sz w:val="21"/>
        </w:rPr>
        <w:t>is a distribution of experienced difficulty and is not a test of the 85% rule or of the 80.7% value, and the earlier-reported "mode interval 0.15–0.20" was verified to be a binning-boundary artifact of equal-width binning and is voided</w:t>
      </w:r>
      <w:r>
        <w:rPr>
          <w:rFonts w:ascii="Calibri" w:hAnsi="Calibri" w:eastAsia="Times New Roman" w:cs="Times New Roman"/>
          <w:sz w:val="21"/>
        </w:rPr>
        <w:t xml:space="preserve">; </w:t>
      </w:r>
      <w:r>
        <w:rPr>
          <w:rFonts w:ascii="Calibri" w:hAnsi="Calibri" w:eastAsia="Times New Roman" w:cs="Times New Roman"/>
          <w:b/>
          <w:sz w:val="21"/>
        </w:rPr>
        <w:t>the preregistered dose–response identification was fully executed on 2026-09-24 under a frozen identification strategy (LF-CIS-2026-09-22), yielding "no internal optimum in the preregistered sense detected," and Junyi's time-inverted negative control is significant</w:t>
      </w:r>
      <w:r>
        <w:rPr>
          <w:rFonts w:ascii="Calibri" w:hAnsi="Calibri" w:eastAsia="Times New Roman" w:cs="Times New Roman"/>
          <w:sz w:val="21"/>
        </w:rPr>
        <w:t xml:space="preserve"> (low-end exceedance 1.000/0.998), so per that strategy's §6.2 handling convention all dose–response conclusions are downgraded to associational evidence; therefore this paper </w:t>
      </w:r>
      <w:r>
        <w:rPr>
          <w:rFonts w:ascii="Calibri" w:hAnsi="Calibri" w:eastAsia="Times New Roman" w:cs="Times New Roman"/>
          <w:b/>
          <w:sz w:val="21"/>
        </w:rPr>
        <w:t>still makes no point estimate, confidence interval, or test against 15.87% for the optimal error rate</w:t>
      </w:r>
      <w:r>
        <w:rPr>
          <w:rFonts w:ascii="Calibri" w:hAnsi="Calibri" w:eastAsia="Times New Roman" w:cs="Times New Roman"/>
          <w:sz w:val="21"/>
        </w:rPr>
        <w:t xml:space="preserve"> (that test presupposes the existence of an internal optimum, a premise not supported), and makes no directional assertion about whether that value holds for real learners (full execution record in §8.3; the conclusion section's earlier wording "causal side not executed" was legacy from an old version and was corrected on 2026-09-25). The three conclusions have partially landed in the studied system's difficulty-metric layer (full test 972 passed); the </w:t>
      </w:r>
      <w:r>
        <w:rPr>
          <w:rFonts w:ascii="Consolas" w:hAnsi="Consolas" w:eastAsia="Times New Roman" w:cs="Times New Roman"/>
          <w:sz w:val="21"/>
        </w:rPr>
        <w:t>srw7</w:t>
      </w:r>
      <w:r>
        <w:rPr>
          <w:rFonts w:ascii="Calibri" w:hAnsi="Calibri" w:eastAsia="Times New Roman" w:cs="Times New Roman"/>
          <w:sz w:val="21"/>
        </w:rPr>
        <w:t xml:space="preserve"> estimator has also landed as the incremental function </w:t>
      </w:r>
      <w:r>
        <w:rPr>
          <w:rFonts w:ascii="Consolas" w:hAnsi="Consolas" w:eastAsia="Times New Roman" w:cs="Times New Roman"/>
          <w:sz w:val="21"/>
        </w:rPr>
        <w:t>estimate_optimized_difficulty()</w:t>
      </w:r>
      <w:r>
        <w:rPr>
          <w:rFonts w:ascii="Calibri" w:hAnsi="Calibri" w:eastAsia="Times New Roman" w:cs="Times New Roman"/>
          <w:sz w:val="21"/>
        </w:rPr>
        <w:t xml:space="preserve"> in </w:t>
      </w:r>
      <w:r>
        <w:rPr>
          <w:rFonts w:ascii="Consolas" w:hAnsi="Consolas" w:eastAsia="Times New Roman" w:cs="Times New Roman"/>
          <w:sz w:val="21"/>
        </w:rPr>
        <w:t>difficulty_fusion.py</w:t>
      </w:r>
      <w:r>
        <w:rPr>
          <w:rFonts w:ascii="Calibri" w:hAnsi="Calibri" w:eastAsia="Times New Roman" w:cs="Times New Roman"/>
          <w:sz w:val="21"/>
        </w:rPr>
        <w:t xml:space="preserve">, its correctness guaranteed by an external verification script (§9.2). </w:t>
      </w:r>
      <w:r>
        <w:rPr>
          <w:rFonts w:ascii="Calibri" w:hAnsi="Calibri" w:eastAsia="Times New Roman" w:cs="Times New Roman"/>
          <w:b/>
          <w:sz w:val="21"/>
        </w:rPr>
        <w:t>It must be emphasised:</w:t>
      </w:r>
      <w:r>
        <w:rPr>
          <w:rFonts w:ascii="Calibri" w:hAnsi="Calibri" w:eastAsia="Times New Roman" w:cs="Times New Roman"/>
          <w:sz w:val="21"/>
        </w:rPr>
        <w:t xml:space="preserve"> while presenting the methodological contributions, this paper also honestly reports the causal-side negative result (no detected internal optimum, significant Junyi negative control), the preregistration gaps of H2 partially tested and H3/H7 unexecuted, and the cross-system boundary that </w:t>
      </w:r>
      <w:r>
        <w:rPr>
          <w:rFonts w:ascii="Consolas" w:hAnsi="Consolas" w:eastAsia="Times New Roman" w:cs="Times New Roman"/>
          <w:sz w:val="21"/>
        </w:rPr>
        <w:t>srw7</w:t>
      </w:r>
      <w:r>
        <w:rPr>
          <w:rFonts w:ascii="Calibri" w:hAnsi="Calibri" w:eastAsia="Times New Roman" w:cs="Times New Roman"/>
          <w:sz w:val="21"/>
        </w:rPr>
        <w:t xml:space="preserve"> / direction correction is verified only on Junyi; these </w:t>
      </w:r>
      <w:r>
        <w:rPr>
          <w:rFonts w:ascii="Calibri" w:hAnsi="Calibri" w:eastAsia="Times New Roman" w:cs="Times New Roman"/>
          <w:b/>
          <w:sz w:val="21"/>
        </w:rPr>
        <w:t>honest negative results and boundaries themselves are this paper's methodological contribution to the "preregister–executable–testable" norm, and do not negate the engineering conclusions.</w:t>
      </w:r>
    </w:p>
    <w:p>
      <w:pPr>
        <w:spacing w:after="120"/>
      </w:pPr>
      <w:r>
        <w:rPr>
          <w:rFonts w:ascii="Calibri" w:hAnsi="Calibri" w:eastAsia="Times New Roman" w:cs="Times New Roman"/>
          <w:b/>
          <w:sz w:val="21"/>
        </w:rPr>
        <w:t>Educational stake.</w:t>
      </w:r>
      <w:r>
        <w:rPr>
          <w:rFonts w:ascii="Calibri" w:hAnsi="Calibri" w:eastAsia="Times New Roman" w:cs="Times New Roman"/>
          <w:sz w:val="21"/>
        </w:rPr>
        <w:t xml:space="preserve"> The purity of difficulty-signal fusion matters not merely as measurement tidiness, because an adaptive system's next-item selection is directly driven by the difficulty metric: if multiple difficulty sources are mis-weighted, the next-item difficulty routed to the learner will systematically shift, and this shift accumulates question by question along the adaptive sequence, misaligning the learning path near the "challenge point" and amplifying subsequent item-selection error. This paper's quantile-logit invariance contribution has a concrete educational payoff—it guarantees that the routing precondition "effective weight = nominal weight" is not broken under monotone reparameterisation, thereby suppressing the magnitude of the above cumulative shift. To be clear: this is a mechanistic inference from a measurement property to a routing mechanism; this paper did not test its corresponding learning outcome on real learners, and claims no causal effect.</w:t>
      </w:r>
    </w:p>
    <w:p>
      <w:pPr>
        <w:pStyle w:val="Heading1"/>
        <w:spacing w:before="200" w:after="80"/>
      </w:pPr>
      <w:r>
        <w:rPr>
          <w:rFonts w:ascii="Calibri" w:hAnsi="Calibri" w:eastAsia="Times New Roman" w:cs="Times New Roman"/>
          <w:sz w:val="32"/>
        </w:rPr>
        <w:t>References</w:t>
      </w:r>
    </w:p>
    <w:p>
      <w:pPr>
        <w:spacing w:after="120"/>
      </w:pPr>
      <w:r>
        <w:rPr>
          <w:rFonts w:ascii="Calibri" w:hAnsi="Calibri" w:eastAsia="Times New Roman" w:cs="Times New Roman"/>
          <w:sz w:val="21"/>
        </w:rPr>
        <w:t xml:space="preserve">[1] Wilson, R. C., Shenhav, A., Straccia, M., &amp; Cohen, J. D. (2019). The Eighty Five Percent Rule for optimal learning. </w:t>
      </w:r>
      <w:r>
        <w:rPr>
          <w:rFonts w:ascii="Calibri" w:hAnsi="Calibri" w:eastAsia="Times New Roman" w:cs="Times New Roman"/>
          <w:i/>
          <w:sz w:val="21"/>
        </w:rPr>
        <w:t>Nature Communications</w:t>
      </w:r>
      <w:r>
        <w:rPr>
          <w:rFonts w:ascii="Calibri" w:hAnsi="Calibri" w:eastAsia="Times New Roman" w:cs="Times New Roman"/>
          <w:sz w:val="21"/>
        </w:rPr>
        <w:t>, 10(1), 4646. DOI: 10.1038/s41467-019-12552-4.</w:t>
      </w:r>
    </w:p>
    <w:p>
      <w:pPr>
        <w:spacing w:after="120"/>
      </w:pPr>
      <w:r>
        <w:rPr>
          <w:rFonts w:ascii="Calibri" w:hAnsi="Calibri" w:eastAsia="Times New Roman" w:cs="Times New Roman"/>
          <w:sz w:val="21"/>
        </w:rPr>
        <w:t xml:space="preserve">[2] Baillifard, A., Belardi, A., &amp; Martarelli, C. S. (2025). Engagement beyond success rate: Evidence from an adaptive learning system. In </w:t>
      </w:r>
      <w:r>
        <w:rPr>
          <w:rFonts w:ascii="Calibri" w:hAnsi="Calibri" w:eastAsia="Times New Roman" w:cs="Times New Roman"/>
          <w:i/>
          <w:sz w:val="21"/>
        </w:rPr>
        <w:t>The Envisioning Report for Empowering Universities</w:t>
      </w:r>
      <w:r>
        <w:rPr>
          <w:rFonts w:ascii="Calibri" w:hAnsi="Calibri" w:eastAsia="Times New Roman" w:cs="Times New Roman"/>
          <w:sz w:val="21"/>
        </w:rPr>
        <w:t xml:space="preserve">, nr. 9 (9th edition, 2025), 56–59. European Association of Distance Teaching Universities (EADTU), Parkweg 27, 6212 XN Maastricht, the Netherlands. DOI: 10.5281/zenodo.15908735. (Non-peer-reviewed annual report, not a journal paper; source grade must be noted at the citation in the text.) n = 413; optimal success rate ≈ 80.7%. Bibliographic limits: this DOI is a report-level DOI, not a chapter-level DOI (the chapter has no independent DOI); no ISBN (Zenodo official API metadata </w:t>
      </w:r>
      <w:r>
        <w:rPr>
          <w:rFonts w:ascii="Consolas" w:hAnsi="Consolas" w:eastAsia="Times New Roman" w:cs="Times New Roman"/>
          <w:sz w:val="21"/>
        </w:rPr>
        <w:t>isbn</w:t>
      </w:r>
      <w:r>
        <w:rPr>
          <w:rFonts w:ascii="Calibri" w:hAnsi="Calibri" w:eastAsia="Times New Roman" w:cs="Times New Roman"/>
          <w:sz w:val="21"/>
        </w:rPr>
        <w:t xml:space="preserve"> field empty, PDF copyright page also none)—must not be filled; no volume / issue (annual report only has nr. 9)—must not be fabricated. Page numbers per PDF footer print page 56–59; the report TOC marks 57, which has a systematic off-by-one error from page 43 onward. (Verified 2026-09-23.)</w:t>
      </w:r>
    </w:p>
    <w:p>
      <w:pPr>
        <w:spacing w:after="120"/>
      </w:pPr>
      <w:r>
        <w:rPr>
          <w:rFonts w:ascii="Calibri" w:hAnsi="Calibri" w:eastAsia="Times New Roman" w:cs="Times New Roman"/>
          <w:sz w:val="21"/>
        </w:rPr>
        <w:t xml:space="preserve">[3] Guadagnoli, M. A., &amp; Lee, T. D. (2004). Challenge point: A framework for conceptualizing the effects of various practice conditions in motor learning. </w:t>
      </w:r>
      <w:r>
        <w:rPr>
          <w:rFonts w:ascii="Calibri" w:hAnsi="Calibri" w:eastAsia="Times New Roman" w:cs="Times New Roman"/>
          <w:i/>
          <w:sz w:val="21"/>
        </w:rPr>
        <w:t>Journal of Motor Behavior</w:t>
      </w:r>
      <w:r>
        <w:rPr>
          <w:rFonts w:ascii="Calibri" w:hAnsi="Calibri" w:eastAsia="Times New Roman" w:cs="Times New Roman"/>
          <w:sz w:val="21"/>
        </w:rPr>
        <w:t>, 36(2), 212–224. DOI: 10.3200/JMBR.36.2.212-224.</w:t>
      </w:r>
    </w:p>
    <w:p>
      <w:pPr>
        <w:spacing w:after="120"/>
      </w:pPr>
      <w:r>
        <w:rPr>
          <w:rFonts w:ascii="Calibri" w:hAnsi="Calibri" w:eastAsia="Times New Roman" w:cs="Times New Roman"/>
          <w:sz w:val="21"/>
        </w:rPr>
        <w:t xml:space="preserve">[4] Hodges, N. J., &amp; Lohse, K. R. (2022). An extended challenge-based framework for practice design in sports coaching. </w:t>
      </w:r>
      <w:r>
        <w:rPr>
          <w:rFonts w:ascii="Calibri" w:hAnsi="Calibri" w:eastAsia="Times New Roman" w:cs="Times New Roman"/>
          <w:i/>
          <w:sz w:val="21"/>
        </w:rPr>
        <w:t>Journal of Sports Sciences</w:t>
      </w:r>
      <w:r>
        <w:rPr>
          <w:rFonts w:ascii="Calibri" w:hAnsi="Calibri" w:eastAsia="Times New Roman" w:cs="Times New Roman"/>
          <w:sz w:val="21"/>
        </w:rPr>
        <w:t xml:space="preserve">, 40(7), 754–768. DOI: 10.1080/02640414.2021.2015917. (Correction 2026-09-23: originally mis-entered as </w:t>
      </w:r>
      <w:r>
        <w:rPr>
          <w:rFonts w:ascii="Calibri" w:hAnsi="Calibri" w:eastAsia="Times New Roman" w:cs="Times New Roman"/>
          <w:i/>
          <w:sz w:val="21"/>
        </w:rPr>
        <w:t>International Review of Sport and Exercise Psychology</w:t>
      </w:r>
      <w:r>
        <w:rPr>
          <w:rFonts w:ascii="Calibri" w:hAnsi="Calibri" w:eastAsia="Times New Roman" w:cs="Times New Roman"/>
          <w:sz w:val="21"/>
        </w:rPr>
        <w:t xml:space="preserve">; verified via publisher page to be </w:t>
      </w:r>
      <w:r>
        <w:rPr>
          <w:rFonts w:ascii="Calibri" w:hAnsi="Calibri" w:eastAsia="Times New Roman" w:cs="Times New Roman"/>
          <w:i/>
          <w:sz w:val="21"/>
        </w:rPr>
        <w:t>Journal of Sports Sciences</w:t>
      </w:r>
      <w:r>
        <w:rPr>
          <w:rFonts w:ascii="Calibri" w:hAnsi="Calibri" w:eastAsia="Times New Roman" w:cs="Times New Roman"/>
          <w:sz w:val="21"/>
        </w:rPr>
        <w:t>.)</w:t>
      </w:r>
    </w:p>
    <w:p>
      <w:pPr>
        <w:spacing w:after="120"/>
      </w:pPr>
      <w:r>
        <w:rPr>
          <w:rFonts w:ascii="Calibri" w:hAnsi="Calibri" w:eastAsia="Times New Roman" w:cs="Times New Roman"/>
          <w:sz w:val="21"/>
        </w:rPr>
        <w:t xml:space="preserve">[5] Weber, D., Becker, N., Spinath, F. M., &amp; Koch, M. (2025). The stability of IRT parameters under several test equating conditions. </w:t>
      </w:r>
      <w:r>
        <w:rPr>
          <w:rFonts w:ascii="Calibri" w:hAnsi="Calibri" w:eastAsia="Times New Roman" w:cs="Times New Roman"/>
          <w:i/>
          <w:sz w:val="21"/>
        </w:rPr>
        <w:t>Frontiers in Psychology</w:t>
      </w:r>
      <w:r>
        <w:rPr>
          <w:rFonts w:ascii="Calibri" w:hAnsi="Calibri" w:eastAsia="Times New Roman" w:cs="Times New Roman"/>
          <w:sz w:val="21"/>
        </w:rPr>
        <w:t>, 16, 1652341. DOI: 10.3389/fpsyg.2025.1652341.</w:t>
      </w:r>
    </w:p>
    <w:p>
      <w:pPr>
        <w:spacing w:after="120"/>
      </w:pPr>
      <w:r>
        <w:rPr>
          <w:rFonts w:ascii="Calibri" w:hAnsi="Calibri" w:eastAsia="Times New Roman" w:cs="Times New Roman"/>
          <w:sz w:val="21"/>
        </w:rPr>
        <w:t xml:space="preserve">[6] Deng, J. (2025). Linking errors introduced by rapid guessing responses when employing multigroup concurrent IRT scaling. </w:t>
      </w:r>
      <w:r>
        <w:rPr>
          <w:rFonts w:ascii="Calibri" w:hAnsi="Calibri" w:eastAsia="Times New Roman" w:cs="Times New Roman"/>
          <w:i/>
          <w:sz w:val="21"/>
        </w:rPr>
        <w:t>Large-scale Assessments in Education</w:t>
      </w:r>
      <w:r>
        <w:rPr>
          <w:rFonts w:ascii="Calibri" w:hAnsi="Calibri" w:eastAsia="Times New Roman" w:cs="Times New Roman"/>
          <w:sz w:val="21"/>
        </w:rPr>
        <w:t>, 13, 28. DOI: 10.1186/s40536-025-00265-8.</w:t>
      </w:r>
    </w:p>
    <w:p>
      <w:pPr>
        <w:spacing w:after="120"/>
      </w:pPr>
      <w:r>
        <w:rPr>
          <w:rFonts w:ascii="Calibri" w:hAnsi="Calibri" w:eastAsia="Times New Roman" w:cs="Times New Roman"/>
          <w:sz w:val="21"/>
        </w:rPr>
        <w:t xml:space="preserve">[7] Liu, Z., Guo, T., Liang, Q., Hou, M., Zhan, B., Tang, J., Luo, W., &amp; Weng, J. (2025). Deep learning based knowledge tracing: A review, a tool and empirical studies. </w:t>
      </w:r>
      <w:r>
        <w:rPr>
          <w:rFonts w:ascii="Calibri" w:hAnsi="Calibri" w:eastAsia="Times New Roman" w:cs="Times New Roman"/>
          <w:i/>
          <w:sz w:val="21"/>
        </w:rPr>
        <w:t>IEEE Transactions on Knowledge and Data Engineering</w:t>
      </w:r>
      <w:r>
        <w:rPr>
          <w:rFonts w:ascii="Calibri" w:hAnsi="Calibri" w:eastAsia="Times New Roman" w:cs="Times New Roman"/>
          <w:sz w:val="21"/>
        </w:rPr>
        <w:t>, 37(8), 4512–4536. DOI: 10.1109/TKDE.2025.3552759.</w:t>
      </w:r>
    </w:p>
    <w:p>
      <w:pPr>
        <w:spacing w:after="120"/>
      </w:pPr>
      <w:r>
        <w:rPr>
          <w:rFonts w:ascii="Calibri" w:hAnsi="Calibri" w:eastAsia="Times New Roman" w:cs="Times New Roman"/>
          <w:sz w:val="21"/>
        </w:rPr>
        <w:t xml:space="preserve">[8] Ding, M., Agrawal, A., Choo, J., Deng, C., et al. (2024). Easy2Hard-Bench: Standardized difficulty labels for profiling LLM performance and generalization. </w:t>
      </w:r>
      <w:r>
        <w:rPr>
          <w:rFonts w:ascii="Calibri" w:hAnsi="Calibri" w:eastAsia="Times New Roman" w:cs="Times New Roman"/>
          <w:i/>
          <w:sz w:val="21"/>
        </w:rPr>
        <w:t>Advances in Neural Information Processing Systems (NeurIPS), Datasets and Benchmarks Track</w:t>
      </w:r>
      <w:r>
        <w:rPr>
          <w:rFonts w:ascii="Calibri" w:hAnsi="Calibri" w:eastAsia="Times New Roman" w:cs="Times New Roman"/>
          <w:sz w:val="21"/>
        </w:rPr>
        <w:t>. arXiv:2409.18433.</w:t>
      </w:r>
    </w:p>
    <w:p>
      <w:pPr>
        <w:spacing w:after="120"/>
      </w:pPr>
      <w:r>
        <w:rPr>
          <w:rFonts w:ascii="Calibri" w:hAnsi="Calibri" w:eastAsia="Times New Roman" w:cs="Times New Roman"/>
          <w:sz w:val="21"/>
        </w:rPr>
        <w:t xml:space="preserve">[9] Dudík, M., Langford, J., &amp; Li, L. (2011). Doubly robust policy evaluation and learning. </w:t>
      </w:r>
      <w:r>
        <w:rPr>
          <w:rFonts w:ascii="Calibri" w:hAnsi="Calibri" w:eastAsia="Times New Roman" w:cs="Times New Roman"/>
          <w:i/>
          <w:sz w:val="21"/>
        </w:rPr>
        <w:t>Proceedings of the 28th International Conference on Machine Learning (ICML)</w:t>
      </w:r>
      <w:r>
        <w:rPr>
          <w:rFonts w:ascii="Calibri" w:hAnsi="Calibri" w:eastAsia="Times New Roman" w:cs="Times New Roman"/>
          <w:sz w:val="21"/>
        </w:rPr>
        <w:t>.</w:t>
      </w:r>
    </w:p>
    <w:p>
      <w:pPr>
        <w:spacing w:after="120"/>
      </w:pPr>
      <w:r>
        <w:rPr>
          <w:rFonts w:ascii="Calibri" w:hAnsi="Calibri" w:eastAsia="Times New Roman" w:cs="Times New Roman"/>
          <w:sz w:val="21"/>
        </w:rPr>
        <w:t xml:space="preserve">[10] Chernozhukov, V., Chetverikov, D., Demirer, M., Duflo, E., Hansen, C., Newey, W., &amp; Robins, J. (2018). Double/debiased machine learning for treatment and structural parameters. </w:t>
      </w:r>
      <w:r>
        <w:rPr>
          <w:rFonts w:ascii="Calibri" w:hAnsi="Calibri" w:eastAsia="Times New Roman" w:cs="Times New Roman"/>
          <w:i/>
          <w:sz w:val="21"/>
        </w:rPr>
        <w:t>The Econometrics Journal</w:t>
      </w:r>
      <w:r>
        <w:rPr>
          <w:rFonts w:ascii="Calibri" w:hAnsi="Calibri" w:eastAsia="Times New Roman" w:cs="Times New Roman"/>
          <w:sz w:val="21"/>
        </w:rPr>
        <w:t>, 21(1), C1–C68. DOI: 10.1111/ectj.12097.</w:t>
      </w:r>
    </w:p>
    <w:p>
      <w:pPr>
        <w:spacing w:after="120"/>
      </w:pPr>
      <w:r>
        <w:rPr>
          <w:rFonts w:ascii="Calibri" w:hAnsi="Calibri" w:eastAsia="Times New Roman" w:cs="Times New Roman"/>
          <w:sz w:val="21"/>
        </w:rPr>
        <w:t xml:space="preserve">[11] VanderWeele, T. J., &amp; Ding, P. (2017). Sensitivity analysis in observational research: Introducing the E-value. </w:t>
      </w:r>
      <w:r>
        <w:rPr>
          <w:rFonts w:ascii="Calibri" w:hAnsi="Calibri" w:eastAsia="Times New Roman" w:cs="Times New Roman"/>
          <w:i/>
          <w:sz w:val="21"/>
        </w:rPr>
        <w:t>Annals of Internal Medicine</w:t>
      </w:r>
      <w:r>
        <w:rPr>
          <w:rFonts w:ascii="Calibri" w:hAnsi="Calibri" w:eastAsia="Times New Roman" w:cs="Times New Roman"/>
          <w:sz w:val="21"/>
        </w:rPr>
        <w:t>, 167(4), 268–274. DOI: 10.7326/M16-2607.</w:t>
      </w:r>
    </w:p>
    <w:p>
      <w:pPr>
        <w:spacing w:after="120"/>
      </w:pPr>
      <w:r>
        <w:rPr>
          <w:rFonts w:ascii="Calibri" w:hAnsi="Calibri" w:eastAsia="Times New Roman" w:cs="Times New Roman"/>
          <w:sz w:val="21"/>
        </w:rPr>
        <w:t xml:space="preserve">[12] Feng, M., Heffernan, N. T., &amp; Koedinger, K. R. (2009). Addressing the assessment challenge with an online system that tutors as it assesses. </w:t>
      </w:r>
      <w:r>
        <w:rPr>
          <w:rFonts w:ascii="Calibri" w:hAnsi="Calibri" w:eastAsia="Times New Roman" w:cs="Times New Roman"/>
          <w:i/>
          <w:sz w:val="21"/>
        </w:rPr>
        <w:t>User Modeling and User-Adapted Interaction</w:t>
      </w:r>
      <w:r>
        <w:rPr>
          <w:rFonts w:ascii="Calibri" w:hAnsi="Calibri" w:eastAsia="Times New Roman" w:cs="Times New Roman"/>
          <w:sz w:val="21"/>
        </w:rPr>
        <w:t>, 19(3), 243–266. DOI: 10.1007/s11257-009-9063-7. ASSISTments 2009–2010 skill-builder data page URL: https://sites.google.com/site/assistmentsdata/home/2009-2010-assistment-data/skill-builder-data-2009-2010 (HTTP 200 verified). Warning: the widely circulated old URL variant is now 404, disabled. Note: the data page self-citation titles the paper "...in an Intelligent Tutoring System that tutors as it assesses," inconsistent with the published title—use the published title.</w:t>
      </w:r>
    </w:p>
    <w:p>
      <w:pPr>
        <w:spacing w:after="120"/>
      </w:pPr>
      <w:r>
        <w:rPr>
          <w:rFonts w:ascii="Calibri" w:hAnsi="Calibri" w:eastAsia="Times New Roman" w:cs="Times New Roman"/>
          <w:sz w:val="21"/>
        </w:rPr>
        <w:t>[13] Abdelrahman, G., Wang, Q., et al. (2022). Knowledge tracing for complex skill training data. arXiv:2208.12651. (DBE-KT22; ADA Dataverse DOI: 10.26193/6DZWOH)</w:t>
      </w:r>
    </w:p>
    <w:p>
      <w:pPr>
        <w:spacing w:after="120"/>
      </w:pPr>
      <w:r>
        <w:rPr>
          <w:rFonts w:ascii="Calibri" w:hAnsi="Calibri" w:eastAsia="Times New Roman" w:cs="Times New Roman"/>
          <w:sz w:val="21"/>
        </w:rPr>
        <w:t xml:space="preserve">[14] Liu, Z., Liu, Q., Guo, T., Chen, J., Huang, S., Zhao, X., Tang, J., Luo, W., &amp; Weng, J. (2023). XES3G5M: A knowledge tracing benchmark dataset with auxiliary information. In </w:t>
      </w:r>
      <w:r>
        <w:rPr>
          <w:rFonts w:ascii="Calibri" w:hAnsi="Calibri" w:eastAsia="Times New Roman" w:cs="Times New Roman"/>
          <w:i/>
          <w:sz w:val="21"/>
        </w:rPr>
        <w:t>Advances in Neural Information Processing Systems 36 (NeurIPS 2023), Datasets and Benchmarks Track</w:t>
      </w:r>
      <w:r>
        <w:rPr>
          <w:rFonts w:ascii="Calibri" w:hAnsi="Calibri" w:eastAsia="Times New Roman" w:cs="Times New Roman"/>
          <w:sz w:val="21"/>
        </w:rPr>
        <w:t>, 32958–32970. DOI: 10.52202/075280-1429. (MIT licence.) Bibliographic limits: pages 32958–32970 from OpenAlex; NeurIPS official page shows no pages; if the target journal does not require conference pages, DOI alone suffices. arXiv number left blank—the paper has no arXiv preprint (arXiv API returns 0); must not fabricate. Disambiguation: Liu, Z., Chen, J., &amp; Luo, W. (2023) "Recent Advances on Deep Learning based Knowledge Tracing" (WSDM 2023, 1295–1296) is a same-first-author, same-field, same-year two-page short paper, not this entry—do not miscite.</w:t>
      </w:r>
    </w:p>
    <w:p>
      <w:pPr>
        <w:spacing w:after="120"/>
      </w:pPr>
      <w:r>
        <w:rPr>
          <w:rFonts w:ascii="Calibri" w:hAnsi="Calibri" w:eastAsia="Times New Roman" w:cs="Times New Roman"/>
          <w:sz w:val="21"/>
        </w:rPr>
        <w:t xml:space="preserve">[15] Chang, H.-S., Hsu, H.-J., &amp; Chen, K.-T. (2015). Modeling exercise relationships in e-learning: A unified approach. In </w:t>
      </w:r>
      <w:r>
        <w:rPr>
          <w:rFonts w:ascii="Calibri" w:hAnsi="Calibri" w:eastAsia="Times New Roman" w:cs="Times New Roman"/>
          <w:i/>
          <w:sz w:val="21"/>
        </w:rPr>
        <w:t>Proceedings of the 8th International Conference on Educational Data Mining (EDM 2015)</w:t>
      </w:r>
      <w:r>
        <w:rPr>
          <w:rFonts w:ascii="Calibri" w:hAnsi="Calibri" w:eastAsia="Times New Roman" w:cs="Times New Roman"/>
          <w:sz w:val="21"/>
        </w:rPr>
        <w:t xml:space="preserve">, 532–535. International Educational Data Mining Society. ISBN: 978-8-4606-9425-0. URL: https://www.educationaldatamining.org/EDM2015/proceedings/short532-535.pdf (HTTP 200 verified). Junyi Academy dataset, CC-BY-NC-SA-4.0, commercial use prohibited. (Correction 2026-09-23: entire original entry was wrong, replaced. Originally entered as </w:t>
      </w:r>
      <w:r>
        <w:rPr>
          <w:rFonts w:ascii="Calibri" w:hAnsi="Calibri" w:eastAsia="Times New Roman" w:cs="Times New Roman"/>
          <w:i/>
          <w:sz w:val="21"/>
        </w:rPr>
        <w:t>Educational Technology &amp; Society</w:t>
      </w:r>
      <w:r>
        <w:rPr>
          <w:rFonts w:ascii="Calibri" w:hAnsi="Calibri" w:eastAsia="Times New Roman" w:cs="Times New Roman"/>
          <w:sz w:val="21"/>
        </w:rPr>
        <w:t>, 18(2), 128–141. Counter-evidence: ET&amp;S official Volume 18, Number 2 (2015) TOC PDF contains no such paper; the "128–141" spans three unrelated papers. No DOI found (EDM 2015 proceedings assigned no Crossref DOI), left blank, must not fabricate, use the URL above. This paper remains the source of the Junyi Academy dataset.)</w:t>
      </w:r>
    </w:p>
    <w:p>
      <w:pPr>
        <w:spacing w:after="120"/>
      </w:pPr>
      <w:r>
        <w:rPr>
          <w:rFonts w:ascii="Calibri" w:hAnsi="Calibri" w:eastAsia="Times New Roman" w:cs="Times New Roman"/>
          <w:sz w:val="21"/>
        </w:rPr>
        <w:t xml:space="preserve">[16] Kolen, M. J., &amp; Brennan, R. L. (2014). </w:t>
      </w:r>
      <w:r>
        <w:rPr>
          <w:rFonts w:ascii="Calibri" w:hAnsi="Calibri" w:eastAsia="Times New Roman" w:cs="Times New Roman"/>
          <w:i/>
          <w:sz w:val="21"/>
        </w:rPr>
        <w:t>Test Equating, Scaling, and Linking: Methods and Practices</w:t>
      </w:r>
      <w:r>
        <w:rPr>
          <w:rFonts w:ascii="Calibri" w:hAnsi="Calibri" w:eastAsia="Times New Roman" w:cs="Times New Roman"/>
          <w:sz w:val="21"/>
        </w:rPr>
        <w:t xml:space="preserve"> (3rd ed.). Springer.</w:t>
      </w:r>
    </w:p>
    <w:p>
      <w:pPr>
        <w:spacing w:after="120"/>
      </w:pPr>
      <w:r>
        <w:rPr>
          <w:rFonts w:ascii="Calibri" w:hAnsi="Calibri" w:eastAsia="Times New Roman" w:cs="Times New Roman"/>
          <w:sz w:val="21"/>
        </w:rPr>
        <w:t xml:space="preserve">[17] Platt, J. (1999). Probabilistic outputs for support vector machines and comparisons to regularized likelihood methods. In </w:t>
      </w:r>
      <w:r>
        <w:rPr>
          <w:rFonts w:ascii="Calibri" w:hAnsi="Calibri" w:eastAsia="Times New Roman" w:cs="Times New Roman"/>
          <w:i/>
          <w:sz w:val="21"/>
        </w:rPr>
        <w:t>Advances in Large Margin Classifiers</w:t>
      </w:r>
      <w:r>
        <w:rPr>
          <w:rFonts w:ascii="Calibri" w:hAnsi="Calibri" w:eastAsia="Times New Roman" w:cs="Times New Roman"/>
          <w:sz w:val="21"/>
        </w:rPr>
        <w:t>. MIT Press.</w:t>
      </w:r>
    </w:p>
    <w:p>
      <w:pPr>
        <w:spacing w:after="120"/>
      </w:pPr>
      <w:r>
        <w:rPr>
          <w:rFonts w:ascii="Calibri" w:hAnsi="Calibri" w:eastAsia="Times New Roman" w:cs="Times New Roman"/>
          <w:sz w:val="21"/>
        </w:rPr>
        <w:t xml:space="preserve">[18] Guo, C., Pleiss, G., Sun, Y., &amp; Weinberger, K. Q. (2017). On calibration of modern neural networks. </w:t>
      </w:r>
      <w:r>
        <w:rPr>
          <w:rFonts w:ascii="Calibri" w:hAnsi="Calibri" w:eastAsia="Times New Roman" w:cs="Times New Roman"/>
          <w:i/>
          <w:sz w:val="21"/>
        </w:rPr>
        <w:t>Proceedings of the 34th International Conference on Machine Learning (ICML)</w:t>
      </w:r>
      <w:r>
        <w:rPr>
          <w:rFonts w:ascii="Calibri" w:hAnsi="Calibri" w:eastAsia="Times New Roman" w:cs="Times New Roman"/>
          <w:sz w:val="21"/>
        </w:rPr>
        <w:t>.</w:t>
      </w:r>
    </w:p>
    <w:p>
      <w:pPr>
        <w:spacing w:after="120"/>
      </w:pPr>
      <w:r>
        <w:rPr>
          <w:rFonts w:ascii="Calibri" w:hAnsi="Calibri" w:eastAsia="Times New Roman" w:cs="Times New Roman"/>
          <w:sz w:val="21"/>
        </w:rPr>
        <w:t xml:space="preserve">[19] Efron, B., &amp; Tibshirani, R. J. (1993). </w:t>
      </w:r>
      <w:r>
        <w:rPr>
          <w:rFonts w:ascii="Calibri" w:hAnsi="Calibri" w:eastAsia="Times New Roman" w:cs="Times New Roman"/>
          <w:i/>
          <w:sz w:val="21"/>
        </w:rPr>
        <w:t>An Introduction to the Bootstrap</w:t>
      </w:r>
      <w:r>
        <w:rPr>
          <w:rFonts w:ascii="Calibri" w:hAnsi="Calibri" w:eastAsia="Times New Roman" w:cs="Times New Roman"/>
          <w:sz w:val="21"/>
        </w:rPr>
        <w:t>. Chapman &amp; Hall.</w:t>
      </w:r>
    </w:p>
    <w:p>
      <w:pPr>
        <w:spacing w:after="120"/>
      </w:pPr>
      <w:r>
        <w:rPr>
          <w:rFonts w:ascii="Calibri" w:hAnsi="Calibri" w:eastAsia="Times New Roman" w:cs="Times New Roman"/>
          <w:sz w:val="21"/>
        </w:rPr>
        <w:t xml:space="preserve">[20] Cohen, J. (1968). Weighted kappa: Nominal scale agreement with provision for scaled disagreement or partial credit. </w:t>
      </w:r>
      <w:r>
        <w:rPr>
          <w:rFonts w:ascii="Calibri" w:hAnsi="Calibri" w:eastAsia="Times New Roman" w:cs="Times New Roman"/>
          <w:i/>
          <w:sz w:val="21"/>
        </w:rPr>
        <w:t>Psychological Bulletin</w:t>
      </w:r>
      <w:r>
        <w:rPr>
          <w:rFonts w:ascii="Calibri" w:hAnsi="Calibri" w:eastAsia="Times New Roman" w:cs="Times New Roman"/>
          <w:sz w:val="21"/>
        </w:rPr>
        <w:t>, 70(4), 213–220.</w:t>
      </w:r>
    </w:p>
    <w:p>
      <w:pPr>
        <w:spacing w:after="120"/>
      </w:pPr>
      <w:r>
        <w:rPr>
          <w:rFonts w:ascii="Calibri" w:hAnsi="Calibri" w:eastAsia="Times New Roman" w:cs="Times New Roman"/>
          <w:sz w:val="21"/>
        </w:rPr>
        <w:t xml:space="preserve">[21] Benjamini, Y., &amp; Hochberg, Y. (1995). Controlling the false discovery rate: A practical and powerful approach to multiple testing. </w:t>
      </w:r>
      <w:r>
        <w:rPr>
          <w:rFonts w:ascii="Calibri" w:hAnsi="Calibri" w:eastAsia="Times New Roman" w:cs="Times New Roman"/>
          <w:i/>
          <w:sz w:val="21"/>
        </w:rPr>
        <w:t>Journal of the Royal Statistical Society: Series B</w:t>
      </w:r>
      <w:r>
        <w:rPr>
          <w:rFonts w:ascii="Calibri" w:hAnsi="Calibri" w:eastAsia="Times New Roman" w:cs="Times New Roman"/>
          <w:sz w:val="21"/>
        </w:rPr>
        <w:t>, 57(1), 289–300.</w:t>
      </w:r>
    </w:p>
    <w:p>
      <w:pPr>
        <w:spacing w:after="120"/>
      </w:pPr>
      <w:r>
        <w:rPr>
          <w:rFonts w:ascii="Calibri" w:hAnsi="Calibri" w:eastAsia="Times New Roman" w:cs="Times New Roman"/>
          <w:sz w:val="21"/>
        </w:rPr>
        <w:t xml:space="preserve">[22] Atroszko, P. A., Charzyńska, E., Buźniak, A., Czerwiński, S. K., Griffiths, M. D., et al. (2025). Validity, reliability, and cross-cultural comparability of a problematic overstudying scale. </w:t>
      </w:r>
      <w:r>
        <w:rPr>
          <w:rFonts w:ascii="Calibri" w:hAnsi="Calibri" w:eastAsia="Times New Roman" w:cs="Times New Roman"/>
          <w:i/>
          <w:sz w:val="21"/>
        </w:rPr>
        <w:t>International Journal of Mental Health and Addiction</w:t>
      </w:r>
      <w:r>
        <w:rPr>
          <w:rFonts w:ascii="Calibri" w:hAnsi="Calibri" w:eastAsia="Times New Roman" w:cs="Times New Roman"/>
          <w:sz w:val="21"/>
        </w:rPr>
        <w:t>. DOI: 10.1007/s11469-023-01128-5.</w:t>
      </w:r>
    </w:p>
    <w:p>
      <w:pPr>
        <w:spacing w:after="120"/>
      </w:pPr>
      <w:r>
        <w:rPr>
          <w:rFonts w:ascii="Calibri" w:hAnsi="Calibri" w:eastAsia="Times New Roman" w:cs="Times New Roman"/>
          <w:sz w:val="21"/>
        </w:rPr>
        <w:t xml:space="preserve">[23] Loscalzo, Y., Wetstone, H., Schuldberg, D., Giannini, M., &amp; Rice, K. G. (2024). Studyholism in the United States and Italy. </w:t>
      </w:r>
      <w:r>
        <w:rPr>
          <w:rFonts w:ascii="Calibri" w:hAnsi="Calibri" w:eastAsia="Times New Roman" w:cs="Times New Roman"/>
          <w:i/>
          <w:sz w:val="21"/>
        </w:rPr>
        <w:t>Current Psychology</w:t>
      </w:r>
      <w:r>
        <w:rPr>
          <w:rFonts w:ascii="Calibri" w:hAnsi="Calibri" w:eastAsia="Times New Roman" w:cs="Times New Roman"/>
          <w:sz w:val="21"/>
        </w:rPr>
        <w:t>, 43(29), 24608–24621. DOI: 10.1007/s12144-024-06163-6.</w:t>
      </w:r>
    </w:p>
    <w:p>
      <w:pPr>
        <w:spacing w:after="120"/>
      </w:pPr>
      <w:r>
        <w:rPr>
          <w:rFonts w:ascii="Calibri" w:hAnsi="Calibri" w:eastAsia="Times New Roman" w:cs="Times New Roman"/>
          <w:sz w:val="21"/>
        </w:rPr>
        <w:t xml:space="preserve">[24] Wu, Y., Dai, X., Wen, Z., &amp; Cui, H. (2010). Compilation of an adolescent learning burnout scale. </w:t>
      </w:r>
      <w:r>
        <w:rPr>
          <w:rFonts w:ascii="Calibri" w:hAnsi="Calibri" w:eastAsia="Times New Roman" w:cs="Times New Roman"/>
          <w:i/>
          <w:sz w:val="21"/>
        </w:rPr>
        <w:t>Chinese Journal of Clinical Psychology</w:t>
      </w:r>
      <w:r>
        <w:rPr>
          <w:rFonts w:ascii="Calibri" w:hAnsi="Calibri" w:eastAsia="Times New Roman" w:cs="Times New Roman"/>
          <w:sz w:val="21"/>
        </w:rPr>
        <w:t>, 18(2), 152–154.</w:t>
      </w:r>
    </w:p>
    <w:p>
      <w:pPr>
        <w:spacing w:after="120"/>
      </w:pPr>
      <w:r>
        <w:rPr>
          <w:rFonts w:ascii="Calibri" w:hAnsi="Calibri" w:eastAsia="Times New Roman" w:cs="Times New Roman"/>
          <w:sz w:val="21"/>
        </w:rPr>
        <w:t xml:space="preserve">[25] Al-Fawakhiri, N., Kayani, S., &amp; McDougle, S. D. (2023). Evidence of an optimal error rate for motor skill learning. </w:t>
      </w:r>
      <w:r>
        <w:rPr>
          <w:rFonts w:ascii="Calibri" w:hAnsi="Calibri" w:eastAsia="Times New Roman" w:cs="Times New Roman"/>
          <w:i/>
          <w:sz w:val="21"/>
        </w:rPr>
        <w:t>bioRxiv</w:t>
      </w:r>
      <w:r>
        <w:rPr>
          <w:rFonts w:ascii="Calibri" w:hAnsi="Calibri" w:eastAsia="Times New Roman" w:cs="Times New Roman"/>
          <w:sz w:val="21"/>
        </w:rPr>
        <w:t>. DOI: 10.1101/2023.07.19.549705. (Supplemented 2026-09-27: previously a dangling reference; now added. Evidence grade must be stated with citation: as of this verification still a bioRxiv preprint (latest v5, not peer-reviewed), v3 revision note self-states "rearranged methods section for submission," no formal publication record found, so it must not be described as published. Content consistent with text: N=192, empirical optimal error rate ≈ 30%, domain motor-skill learning. Placement limit unchanged: value not extrapolable to academic learning, cited only as a task-dependence case, not in the RQ2 decision table, not as a new target value.)</w:t>
      </w:r>
    </w:p>
    <w:p>
      <w:pPr>
        <w:spacing w:after="120"/>
      </w:pPr>
      <w:r>
        <w:rPr>
          <w:rFonts w:ascii="Calibri" w:hAnsi="Calibri" w:eastAsia="Times New Roman" w:cs="Times New Roman"/>
          <w:sz w:val="21"/>
        </w:rPr>
        <w:t xml:space="preserve">[26] Yeung, C.-K. (2019). Deep-IRT: Make deep learning based knowledge tracing explainable using item response theory. In </w:t>
      </w:r>
      <w:r>
        <w:rPr>
          <w:rFonts w:ascii="Calibri" w:hAnsi="Calibri" w:eastAsia="Times New Roman" w:cs="Times New Roman"/>
          <w:i/>
          <w:sz w:val="21"/>
        </w:rPr>
        <w:t>Proceedings of the 12th International Conference on Educational Data Mining (EDM 2019)</w:t>
      </w:r>
      <w:r>
        <w:rPr>
          <w:rFonts w:ascii="Calibri" w:hAnsi="Calibri" w:eastAsia="Times New Roman" w:cs="Times New Roman"/>
          <w:sz w:val="21"/>
        </w:rPr>
        <w:t xml:space="preserve"> (pp. 683–686). arXiv:1904.11738. (Supplemented 2026-09-27: previously a dangling reference; now added. Verified that beyond arXiv:1904.11738 there is also a formal EDM 2019 conference version (pp. 683–686, per the author's own code-repo citation example), so cited by formal version, arXiv as auxiliary. This paper's citation point is only one reported number: item analysis (first-attempt error proportion) vs. 1PL IRT difficulty Pearson r = 0.96; the same paper also reports publisher-labelled 3-level difficulty correlates only 0.40 with item analysis, 0.39 with IRT, 0.08 with Deep-IRT, so its network-output difficulty must not be used as a decision benchmark.)</w:t>
      </w:r>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Times New Roman" w:cs="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M1_submission_EN</dc:title>
  <dc:subject>Doctoral dissertation supporting paper (English submission manuscript) — Measurability and governability of difficulty in adaptive learning</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