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Times New Roman" w:cs="Times New Roman"/>
          <w:sz w:val="44"/>
        </w:rPr>
        <w:t>Commensurability of Difficulty Scales: An Instability Proposition and Its Test on assist09</w:t>
      </w:r>
    </w:p>
    <w:p/>
    <w:p>
      <w:pPr>
        <w:spacing w:after="120"/>
      </w:pPr>
      <w:r>
        <w:rPr>
          <w:rFonts w:ascii="Calibri" w:hAnsi="Calibri" w:eastAsia="Times New Roman" w:cs="Times New Roman"/>
          <w:sz w:val="21"/>
        </w:rPr>
        <w:t>Zexiao Weng¹</w:t>
      </w:r>
    </w:p>
    <w:p>
      <w:pPr>
        <w:spacing w:after="120"/>
      </w:pPr>
      <w:r>
        <w:rPr>
          <w:rFonts w:ascii="Calibri" w:hAnsi="Calibri" w:eastAsia="Times New Roman" w:cs="Times New Roman"/>
          <w:sz w:val="21"/>
        </w:rPr>
        <w:t>¹ Youngsan University, Busan 48015, Republic of Korea</w:t>
      </w:r>
    </w:p>
    <w:p>
      <w:pPr>
        <w:spacing w:after="120"/>
      </w:pPr>
      <w:r>
        <w:rPr>
          <w:rFonts w:ascii="Calibri" w:hAnsi="Calibri" w:eastAsia="Times New Roman" w:cs="Times New Roman"/>
          <w:sz w:val="21"/>
        </w:rPr>
        <w:t>Corresponding author: to be assigned on approval of the final manuscript. ORCID: 0009-0009-8600-8954.</w:t>
      </w:r>
    </w:p>
    <w:p>
      <w:pPr>
        <w:spacing w:before="40" w:after="40"/>
        <w:ind w:left="360"/>
        <w:pBdr>
          <w:left w:val="single" w:sz="12" w:space="6" w:color="888888"/>
        </w:pBdr>
      </w:pPr>
      <w:r>
        <w:rPr>
          <w:rFonts w:ascii="Calibri" w:hAnsi="Calibri" w:eastAsia="Times New Roman" w:cs="Times New Roman"/>
          <w:b/>
          <w:i/>
          <w:color w:val="555555"/>
          <w:sz w:val="19"/>
        </w:rPr>
        <w:t>Byline and corresponding-author fields withheld pending approval (supervisor review items 2.4③ and §10, 2026-09-29).</w:t>
      </w:r>
      <w:r>
        <w:rPr>
          <w:rFonts w:ascii="Calibri" w:hAnsi="Calibri" w:eastAsia="Times New Roman" w:cs="Times New Roman"/>
          <w:i/>
          <w:color w:val="555555"/>
          <w:sz w:val="19"/>
        </w:rPr>
        <w:t xml:space="preserve"> This manuscript previously carried a second author and a named corresponding author (name, email and ORCID). Under the supervisor's review those fields must not appear in the submission, the Zenodo contributor list, or the AI-use statement until the corresponding author has read and approved the final manuscript. The corresponding author has agreed to serve in that role; the byline, the corresponding-author contact, and the contributor list will be restored in the manner they consent to once the final version is approved.</w:t>
      </w:r>
    </w:p>
    <w:p>
      <w:pPr>
        <w:spacing w:after="120"/>
      </w:pPr>
      <w:r>
        <w:rPr>
          <w:rFonts w:ascii="Calibri" w:hAnsi="Calibri" w:eastAsia="Times New Roman" w:cs="Times New Roman"/>
          <w:sz w:val="21"/>
        </w:rPr>
        <w:t xml:space="preserve">AI-Assisted Writing Disclosure. This manuscript was prepared with the assistance of large language models (LLMs) and AI coding agents. These tools were used, to varying extents, for: (i) generating and editing analysis scripts; (ii) executing and re-running experiments; (iii) drafting, translating and polishing manuscript text; (iv) drafting internal revision-tracking documents. The claim made in an earlier version of this disclosure — that the LLM "was used strictly as a language-polishing and drafting aid" and that no LLM participated in analytical, statistical or experimental work — </w:t>
      </w:r>
      <w:r>
        <w:rPr>
          <w:rFonts w:ascii="Calibri" w:hAnsi="Calibri" w:eastAsia="Times New Roman" w:cs="Times New Roman"/>
          <w:b/>
          <w:sz w:val="21"/>
        </w:rPr>
        <w:t>has been withdrawn</w:t>
      </w:r>
      <w:r>
        <w:rPr>
          <w:rFonts w:ascii="Calibri" w:hAnsi="Calibri" w:eastAsia="Times New Roman" w:cs="Times New Roman"/>
          <w:sz w:val="21"/>
        </w:rPr>
        <w:t xml:space="preserve">, because it is not consistent with the traces visible in the accompanying repository (supervisor's review §2.3, 2026-09-29). The per-task division of work between the author and these tools, and the scope of the author's own verification of each tool output, is recorded by the author in the role-and-tools table of the dissertation proposal (§10.1) and will be stated here in its final form before submission. The corresponding author has </w:t>
      </w:r>
      <w:r>
        <w:rPr>
          <w:rFonts w:ascii="Calibri" w:hAnsi="Calibri" w:eastAsia="Times New Roman" w:cs="Times New Roman"/>
          <w:b/>
          <w:sz w:val="21"/>
        </w:rPr>
        <w:t>not</w:t>
      </w:r>
      <w:r>
        <w:rPr>
          <w:rFonts w:ascii="Calibri" w:hAnsi="Calibri" w:eastAsia="Times New Roman" w:cs="Times New Roman"/>
          <w:sz w:val="21"/>
        </w:rPr>
        <w:t xml:space="preserve"> yet reviewed and approved this disclosure; accordingly, and per review §10, the corresponding author's name is withheld from this manuscript until the final version is approved. All numerical results reported here were produced by the scripts in the accompanying repository and are reproducible from them.</w:t>
      </w:r>
    </w:p>
    <w:p>
      <w:pPr>
        <w:jc w:val="center"/>
      </w:pPr>
      <w:r>
        <w:rPr>
          <w:rFonts w:ascii="Calibri" w:hAnsi="Calibri" w:eastAsia="Times New Roman" w:cs="Times New Roman"/>
          <w:b/>
          <w:sz w:val="30"/>
        </w:rPr>
        <w:t>Contents</w:t>
      </w:r>
    </w:p>
    <w:p>
      <w:pPr>
        <w:spacing w:after="40"/>
        <w:ind w:left="360"/>
      </w:pPr>
      <w:r>
        <w:rPr>
          <w:rFonts w:ascii="Calibri" w:hAnsi="Calibri" w:eastAsia="Times New Roman" w:cs="Times New Roman"/>
          <w:sz w:val="21"/>
        </w:rPr>
        <w:t>Abstract</w:t>
      </w:r>
    </w:p>
    <w:p>
      <w:pPr>
        <w:spacing w:after="40"/>
        <w:ind w:left="360"/>
      </w:pPr>
      <w:r>
        <w:rPr>
          <w:rFonts w:ascii="Calibri" w:hAnsi="Calibri" w:eastAsia="Times New Roman" w:cs="Times New Roman"/>
          <w:sz w:val="21"/>
        </w:rPr>
        <w:t>1 Introduction</w:t>
      </w:r>
    </w:p>
    <w:p>
      <w:pPr>
        <w:spacing w:after="40"/>
        <w:ind w:left="720"/>
      </w:pPr>
      <w:r>
        <w:rPr>
          <w:rFonts w:ascii="Calibri" w:hAnsi="Calibri" w:eastAsia="Times New Roman" w:cs="Times New Roman"/>
          <w:sz w:val="21"/>
        </w:rPr>
        <w:t>1.1 A skipped question</w:t>
      </w:r>
    </w:p>
    <w:p>
      <w:pPr>
        <w:spacing w:after="40"/>
        <w:ind w:left="720"/>
      </w:pPr>
      <w:r>
        <w:rPr>
          <w:rFonts w:ascii="Calibri" w:hAnsi="Calibri" w:eastAsia="Times New Roman" w:cs="Times New Roman"/>
          <w:sz w:val="21"/>
        </w:rPr>
        <w:t>1.2 Why this is not a technical detail</w:t>
      </w:r>
    </w:p>
    <w:p>
      <w:pPr>
        <w:spacing w:after="40"/>
        <w:ind w:left="720"/>
      </w:pPr>
      <w:r>
        <w:rPr>
          <w:rFonts w:ascii="Calibri" w:hAnsi="Calibri" w:eastAsia="Times New Roman" w:cs="Times New Roman"/>
          <w:sz w:val="21"/>
        </w:rPr>
        <w:t>1.3 Contributions</w:t>
      </w:r>
    </w:p>
    <w:p>
      <w:pPr>
        <w:spacing w:after="40"/>
        <w:ind w:left="360"/>
      </w:pPr>
      <w:r>
        <w:rPr>
          <w:rFonts w:ascii="Calibri" w:hAnsi="Calibri" w:eastAsia="Times New Roman" w:cs="Times New Roman"/>
          <w:sz w:val="21"/>
        </w:rPr>
        <w:t>2 Related Work</w:t>
      </w:r>
    </w:p>
    <w:p>
      <w:pPr>
        <w:spacing w:after="40"/>
        <w:ind w:left="360"/>
      </w:pPr>
      <w:r>
        <w:rPr>
          <w:rFonts w:ascii="Calibri" w:hAnsi="Calibri" w:eastAsia="Times New Roman" w:cs="Times New Roman"/>
          <w:sz w:val="21"/>
        </w:rPr>
        <w:t>3 Theory: the Instability Proposition</w:t>
      </w:r>
    </w:p>
    <w:p>
      <w:pPr>
        <w:spacing w:after="40"/>
        <w:ind w:left="720"/>
      </w:pPr>
      <w:r>
        <w:rPr>
          <w:rFonts w:ascii="Calibri" w:hAnsi="Calibri" w:eastAsia="Times New Roman" w:cs="Times New Roman"/>
          <w:sz w:val="21"/>
        </w:rPr>
        <w:t>3.1 Four difficulty sources and their scale types</w:t>
      </w:r>
    </w:p>
    <w:p>
      <w:pPr>
        <w:spacing w:after="40"/>
        <w:ind w:left="720"/>
      </w:pPr>
      <w:r>
        <w:rPr>
          <w:rFonts w:ascii="Calibri" w:hAnsi="Calibri" w:eastAsia="Times New Roman" w:cs="Times New Roman"/>
          <w:sz w:val="21"/>
        </w:rPr>
        <w:t>3.2 Two metrics and their invariance</w:t>
      </w:r>
    </w:p>
    <w:p>
      <w:pPr>
        <w:spacing w:after="40"/>
        <w:ind w:left="720"/>
      </w:pPr>
      <w:r>
        <w:rPr>
          <w:rFonts w:ascii="Calibri" w:hAnsi="Calibri" w:eastAsia="Times New Roman" w:cs="Times New Roman"/>
          <w:sz w:val="21"/>
        </w:rPr>
        <w:t>3.3 Proposition C1</w:t>
      </w:r>
    </w:p>
    <w:p>
      <w:pPr>
        <w:spacing w:after="40"/>
        <w:ind w:left="360"/>
      </w:pPr>
      <w:r>
        <w:rPr>
          <w:rFonts w:ascii="Calibri" w:hAnsi="Calibri" w:eastAsia="Times New Roman" w:cs="Times New Roman"/>
          <w:sz w:val="21"/>
        </w:rPr>
        <w:t>4 Synthetic Validation</w:t>
      </w:r>
    </w:p>
    <w:p>
      <w:pPr>
        <w:spacing w:after="40"/>
        <w:ind w:left="360"/>
      </w:pPr>
      <w:r>
        <w:rPr>
          <w:rFonts w:ascii="Calibri" w:hAnsi="Calibri" w:eastAsia="Times New Roman" w:cs="Times New Roman"/>
          <w:sz w:val="21"/>
        </w:rPr>
        <w:t>5 Real-Data Test I: Metric Repair and Two Negative Results</w:t>
      </w:r>
    </w:p>
    <w:p>
      <w:pPr>
        <w:spacing w:after="40"/>
        <w:ind w:left="720"/>
      </w:pPr>
      <w:r>
        <w:rPr>
          <w:rFonts w:ascii="Calibri" w:hAnsi="Calibri" w:eastAsia="Times New Roman" w:cs="Times New Roman"/>
          <w:sz w:val="21"/>
        </w:rPr>
        <w:t>5.1 Data</w:t>
      </w:r>
    </w:p>
    <w:p>
      <w:pPr>
        <w:spacing w:after="40"/>
        <w:ind w:left="720"/>
      </w:pPr>
      <w:r>
        <w:rPr>
          <w:rFonts w:ascii="Calibri" w:hAnsi="Calibri" w:eastAsia="Times New Roman" w:cs="Times New Roman"/>
          <w:sz w:val="21"/>
        </w:rPr>
        <w:t>5.2 Real sources are weakly negatively correlated</w:t>
      </w:r>
    </w:p>
    <w:p>
      <w:pPr>
        <w:spacing w:after="40"/>
        <w:ind w:left="720"/>
      </w:pPr>
      <w:r>
        <w:rPr>
          <w:rFonts w:ascii="Calibri" w:hAnsi="Calibri" w:eastAsia="Times New Roman" w:cs="Times New Roman"/>
          <w:sz w:val="21"/>
        </w:rPr>
        <w:t>5.3 O1: metric repair on real data</w:t>
      </w:r>
    </w:p>
    <w:p>
      <w:pPr>
        <w:spacing w:after="40"/>
        <w:ind w:left="720"/>
      </w:pPr>
      <w:r>
        <w:rPr>
          <w:rFonts w:ascii="Calibri" w:hAnsi="Calibri" w:eastAsia="Times New Roman" w:cs="Times New Roman"/>
          <w:sz w:val="21"/>
        </w:rPr>
        <w:t>5.4 O2 and O3: two negative results</w:t>
      </w:r>
    </w:p>
    <w:p>
      <w:pPr>
        <w:spacing w:after="40"/>
        <w:ind w:left="360"/>
      </w:pPr>
      <w:r>
        <w:rPr>
          <w:rFonts w:ascii="Calibri" w:hAnsi="Calibri" w:eastAsia="Times New Roman" w:cs="Times New Roman"/>
          <w:sz w:val="21"/>
        </w:rPr>
        <w:t>6 Real-Data Test II: Multi-Signal Fusion under the Expert-Label Criterion</w:t>
      </w:r>
    </w:p>
    <w:p>
      <w:pPr>
        <w:spacing w:after="40"/>
        <w:ind w:left="360"/>
      </w:pPr>
      <w:r>
        <w:rPr>
          <w:rFonts w:ascii="Calibri" w:hAnsi="Calibri" w:eastAsia="Times New Roman" w:cs="Times New Roman"/>
          <w:sz w:val="21"/>
        </w:rPr>
        <w:t>7 Criterion Switch: Reversal, Correction, and a Deployable Rule</w:t>
      </w:r>
    </w:p>
    <w:p>
      <w:pPr>
        <w:spacing w:after="40"/>
        <w:ind w:left="720"/>
      </w:pPr>
      <w:r>
        <w:rPr>
          <w:rFonts w:ascii="Calibri" w:hAnsi="Calibri" w:eastAsia="Times New Roman" w:cs="Times New Roman"/>
          <w:sz w:val="21"/>
        </w:rPr>
        <w:t>7.1 O7: the conclusion reverses</w:t>
      </w:r>
    </w:p>
    <w:p>
      <w:pPr>
        <w:spacing w:after="40"/>
        <w:ind w:left="720"/>
      </w:pPr>
      <w:r>
        <w:rPr>
          <w:rFonts w:ascii="Calibri" w:hAnsi="Calibri" w:eastAsia="Times New Roman" w:cs="Times New Roman"/>
          <w:sz w:val="21"/>
        </w:rPr>
        <w:t>7.2 O8: locating and fixing a directional error</w:t>
      </w:r>
    </w:p>
    <w:p>
      <w:pPr>
        <w:spacing w:after="40"/>
        <w:ind w:left="720"/>
      </w:pPr>
      <w:r>
        <w:rPr>
          <w:rFonts w:ascii="Calibri" w:hAnsi="Calibri" w:eastAsia="Times New Roman" w:cs="Times New Roman"/>
          <w:sz w:val="21"/>
        </w:rPr>
        <w:t>7.3 O9 and O10: is λ*(k) deployable?</w:t>
      </w:r>
    </w:p>
    <w:p>
      <w:pPr>
        <w:spacing w:after="40"/>
        <w:ind w:left="720"/>
      </w:pPr>
      <w:r>
        <w:rPr>
          <w:rFonts w:ascii="Calibri" w:hAnsi="Calibri" w:eastAsia="Times New Roman" w:cs="Times New Roman"/>
          <w:sz w:val="21"/>
        </w:rPr>
        <w:t xml:space="preserve">7.4 O11/O12: </w:t>
      </w:r>
      <w:r>
        <w:rPr>
          <w:rFonts w:ascii="Consolas" w:hAnsi="Consolas" w:eastAsia="Times New Roman" w:cs="Times New Roman"/>
          <w:sz w:val="21"/>
        </w:rPr>
        <w:t>srw7</w:t>
      </w:r>
      <w:r>
        <w:rPr>
          <w:rFonts w:ascii="Calibri" w:hAnsi="Calibri" w:eastAsia="Times New Roman" w:cs="Times New Roman"/>
          <w:sz w:val="21"/>
        </w:rPr>
        <w:t xml:space="preserve"> and the size of the surviving gain</w:t>
      </w:r>
    </w:p>
    <w:p>
      <w:pPr>
        <w:spacing w:after="40"/>
        <w:ind w:left="360"/>
      </w:pPr>
      <w:r>
        <w:rPr>
          <w:rFonts w:ascii="Calibri" w:hAnsi="Calibri" w:eastAsia="Times New Roman" w:cs="Times New Roman"/>
          <w:sz w:val="21"/>
        </w:rPr>
        <w:t>8 The Optimal Error Rate: Descriptive Evidence and the Causal Side</w:t>
      </w:r>
    </w:p>
    <w:p>
      <w:pPr>
        <w:spacing w:after="40"/>
        <w:ind w:left="720"/>
      </w:pPr>
      <w:r>
        <w:rPr>
          <w:rFonts w:ascii="Calibri" w:hAnsi="Calibri" w:eastAsia="Times New Roman" w:cs="Times New Roman"/>
          <w:sz w:val="21"/>
        </w:rPr>
        <w:t>8.1 Descriptive distribution</w:t>
      </w:r>
    </w:p>
    <w:p>
      <w:pPr>
        <w:spacing w:after="40"/>
        <w:ind w:left="720"/>
      </w:pPr>
      <w:r>
        <w:rPr>
          <w:rFonts w:ascii="Calibri" w:hAnsi="Calibri" w:eastAsia="Times New Roman" w:cs="Times New Roman"/>
          <w:sz w:val="21"/>
        </w:rPr>
        <w:t>8.2 The causal side — removed from this paper</w:t>
      </w:r>
    </w:p>
    <w:p>
      <w:pPr>
        <w:spacing w:after="40"/>
        <w:ind w:left="360"/>
      </w:pPr>
      <w:r>
        <w:rPr>
          <w:rFonts w:ascii="Calibri" w:hAnsi="Calibri" w:eastAsia="Times New Roman" w:cs="Times New Roman"/>
          <w:sz w:val="21"/>
        </w:rPr>
        <w:t>9 Discussion</w:t>
      </w:r>
    </w:p>
    <w:p>
      <w:pPr>
        <w:spacing w:after="40"/>
        <w:ind w:left="360"/>
      </w:pPr>
      <w:r>
        <w:rPr>
          <w:rFonts w:ascii="Calibri" w:hAnsi="Calibri" w:eastAsia="Times New Roman" w:cs="Times New Roman"/>
          <w:sz w:val="21"/>
        </w:rPr>
        <w:t>10 Honest Gap Inventory</w:t>
      </w:r>
    </w:p>
    <w:p>
      <w:pPr>
        <w:spacing w:after="40"/>
        <w:ind w:left="360"/>
      </w:pPr>
      <w:r>
        <w:rPr>
          <w:rFonts w:ascii="Calibri" w:hAnsi="Calibri" w:eastAsia="Times New Roman" w:cs="Times New Roman"/>
          <w:sz w:val="21"/>
        </w:rPr>
        <w:t>11 Conclusions</w:t>
      </w:r>
    </w:p>
    <w:p>
      <w:pPr>
        <w:spacing w:after="40"/>
        <w:ind w:left="360"/>
      </w:pPr>
      <w:r>
        <w:rPr>
          <w:rFonts w:ascii="Calibri" w:hAnsi="Calibri" w:eastAsia="Times New Roman" w:cs="Times New Roman"/>
          <w:sz w:val="21"/>
        </w:rPr>
        <w:t>References</w:t>
      </w:r>
    </w:p>
    <w:p/>
    <w:p>
      <w:pPr>
        <w:pStyle w:val="Heading1"/>
        <w:spacing w:before="200" w:after="80"/>
      </w:pPr>
      <w:r>
        <w:rPr>
          <w:rFonts w:ascii="Calibri" w:hAnsi="Calibri" w:eastAsia="Times New Roman" w:cs="Times New Roman"/>
          <w:sz w:val="32"/>
        </w:rPr>
        <w:t>Abstract</w:t>
      </w:r>
    </w:p>
    <w:p>
      <w:pPr>
        <w:spacing w:after="120"/>
      </w:pPr>
      <w:r>
        <w:rPr>
          <w:rFonts w:ascii="Calibri" w:hAnsi="Calibri" w:eastAsia="Times New Roman" w:cs="Times New Roman"/>
          <w:sz w:val="21"/>
        </w:rPr>
        <w:t xml:space="preserve">Adaptive learning systems must answer "what difficulty should the next item have?" every day, yet the prior question—whether difficulty is a quantity that can be placed on one common scale—is systematically skipped. We reformulate that question as a falsifiable measurement proposition and report three results. </w:t>
      </w:r>
      <w:r>
        <w:rPr>
          <w:rFonts w:ascii="Calibri" w:hAnsi="Calibri" w:eastAsia="Times New Roman" w:cs="Times New Roman"/>
          <w:b/>
          <w:sz w:val="21"/>
        </w:rPr>
        <w:t>First, we quantify the magnitude of the instability proposition (C1) on real systems.</w:t>
      </w:r>
      <w:r>
        <w:rPr>
          <w:rFonts w:ascii="Calibri" w:hAnsi="Calibri" w:eastAsia="Times New Roman" w:cs="Times New Roman"/>
          <w:sz w:val="21"/>
        </w:rPr>
        <w:t xml:space="preserve"> The invariance side of the proposition is an identity, not a discovery (for strictly increasing g, #{g(x_cal) ≤ g(x)} = #{x_cal ≤ x}, so effective weights under the quantile metric are pointwise invariant); our contribution is to quantify how large the discrepancy becomes when that identity is violated. If difficulty sources are each normalised to [0,1] and then linearly combined, the effective weights defined by marginal contribution equal neither the nominal weights (π₁ = 0.532 ± 0.026 against nominal w₁ = 0.40 in simulation) nor themselves under a monotone reparameterisation of any single source: drift is exactly zero under affine transforms but averages L1 = 0.1276 (SD 0.0196) under nonlinear monotone transforms, with rank reversals in 36.4% of (source, transform) cells and complete sign reversal in the strongest counterexample (Spearman −0.20, L1 = 0.6893). An empirical-CDF-to-logit quantile metric gives exactly zero drift under shared calibration, 0.016 linking sampling noise under independent calibration, and zero reversals. On real data (assist09, 994 items), linear min-max fusion drifts by L1 = 0.5357 with substantial reversals, while the quantile metric reduces this to 0.0001 with reversals eliminated. </w:t>
      </w:r>
      <w:r>
        <w:rPr>
          <w:rFonts w:ascii="Calibri" w:hAnsi="Calibri" w:eastAsia="Times New Roman" w:cs="Times New Roman"/>
          <w:b/>
          <w:sz w:val="21"/>
        </w:rPr>
        <w:t>Second, the gain from multi-signal fusion is real under an expert-label criterion but reverses under a holdout criterion.</w:t>
      </w:r>
      <w:r>
        <w:rPr>
          <w:rFonts w:ascii="Calibri" w:hAnsi="Calibri" w:eastAsia="Times New Roman" w:cs="Times New Roman"/>
          <w:sz w:val="21"/>
        </w:rPr>
        <w:t xml:space="preserve"> Five-signal fusion on DBE-KT22 raises agreement with expert labels from ρ = 0.2207 (raw correct rate) to 0.2918 (equal-weight) and 0.5240 ± 0.1069 (cross-validated optimised weights); on Junyi (1,234 exercises, no-feedback regime) seven-signal fusion raises ρ from 0.2610 to 0.3629 equal-weight and 0.4023 ± 0.0480 optimised. Yet once the criterion switches to real performance on held-out samples, the fusion loses at every sample size (Junyi −0.0267 to −0.1222, DBE −0.1752 to −0.2113, win rate 0.00). We trace part of this to a directional error, and show that sign correction plus reliability weighting (</w:t>
      </w:r>
      <w:r>
        <w:rPr>
          <w:rFonts w:ascii="Consolas" w:hAnsi="Consolas" w:eastAsia="Times New Roman" w:cs="Times New Roman"/>
          <w:sz w:val="21"/>
        </w:rPr>
        <w:t>srw7</w:t>
      </w:r>
      <w:r>
        <w:rPr>
          <w:rFonts w:ascii="Calibri" w:hAnsi="Calibri" w:eastAsia="Times New Roman" w:cs="Times New Roman"/>
          <w:sz w:val="21"/>
        </w:rPr>
        <w:t>) with sample-size-adaptive shrinkage λ</w:t>
      </w:r>
      <w:r>
        <w:rPr>
          <w:rFonts w:ascii="Calibri" w:hAnsi="Calibri" w:eastAsia="Times New Roman" w:cs="Times New Roman"/>
          <w:i/>
          <w:sz w:val="21"/>
        </w:rPr>
        <w:t xml:space="preserve">(k) recovers a deployable but rapidly decaying gain (+4.283 pp student-level at k = 10, +0.102 pp at k = 200). </w:t>
      </w:r>
      <w:r>
        <w:rPr>
          <w:rFonts w:ascii="Calibri" w:hAnsi="Calibri" w:eastAsia="Times New Roman" w:cs="Times New Roman"/>
          <w:i/>
          <w:sz w:val="21"/>
        </w:rPr>
        <w:t>Qualification (review §3.2 ③): when the criterion quantity is success rate, the success-rate estimator's dominance at large samples is design-expected; fusion's role is rank stabilisation at small samples.</w:t>
      </w:r>
      <w:r>
        <w:rPr>
          <w:rFonts w:ascii="Calibri" w:hAnsi="Calibri" w:eastAsia="Times New Roman" w:cs="Times New Roman"/>
          <w:i/>
          <w:sz w:val="21"/>
        </w:rPr>
        <w:t xml:space="preserve"> </w:t>
      </w:r>
      <w:r>
        <w:rPr>
          <w:rFonts w:ascii="Calibri" w:hAnsi="Calibri" w:eastAsia="Times New Roman" w:cs="Times New Roman"/>
          <w:i/>
          <w:sz w:val="21"/>
        </w:rPr>
        <w:t>Third, we give descriptive evidence on the optimal error rate.</w:t>
      </w:r>
      <w:r>
        <w:rPr>
          <w:rFonts w:ascii="Calibri" w:hAnsi="Calibri" w:eastAsia="Times New Roman" w:cs="Times New Roman"/>
          <w:i/>
          <w:sz w:val="21"/>
        </w:rPr>
        <w:t xml:space="preserve"> On assist09 the sliding-window error-rate distribution (W = 20, n = 286,150 windows) has only 21 discrete support points, mean 0.3511, median 0.30, and a single-value mode at error rate 0.25 (success 75%, 30,899 windows); the 80–85% success band occupies only 19.64%. Together with the fact that the 80–85% success band occupies only 19.64% of windows, this locates where the system actually operates. It is a distribution of </w:t>
      </w:r>
      <w:r>
        <w:rPr>
          <w:rFonts w:ascii="Calibri" w:hAnsi="Calibri" w:eastAsia="Times New Roman" w:cs="Times New Roman"/>
          <w:i/>
          <w:sz w:val="21"/>
        </w:rPr>
        <w:t>experienced difficulty</w:t>
      </w:r>
      <w:r>
        <w:rPr>
          <w:rFonts w:ascii="Calibri" w:hAnsi="Calibri" w:eastAsia="Times New Roman" w:cs="Times New Roman"/>
          <w:i/>
          <w:sz w:val="21"/>
        </w:rPr>
        <w:t xml:space="preserve"> — the joint product of how ASSISTments allocates items and how capable its students are — </w:t>
      </w:r>
      <w:r>
        <w:rPr>
          <w:rFonts w:ascii="Calibri" w:hAnsi="Calibri" w:eastAsia="Times New Roman" w:cs="Times New Roman"/>
          <w:i/>
          <w:sz w:val="21"/>
        </w:rPr>
        <w:t>not a test of the optimal error rate</w:t>
      </w:r>
      <w:r>
        <w:rPr>
          <w:rFonts w:ascii="Calibri" w:hAnsi="Calibri" w:eastAsia="Times New Roman" w:cs="Times New Roman"/>
          <w:sz w:val="21"/>
        </w:rPr>
        <w:t>*; about whether the 85% rule holds for real learners, this paper can say nothing. The preregistered causal analysis that would have borne on that question has been removed from this paper (§8.2).</w:t>
      </w:r>
    </w:p>
    <w:p>
      <w:pPr>
        <w:spacing w:after="120"/>
      </w:pPr>
      <w:r>
        <w:rPr>
          <w:rFonts w:ascii="Calibri" w:hAnsi="Calibri" w:eastAsia="Times New Roman" w:cs="Times New Roman"/>
          <w:b/>
          <w:sz w:val="21"/>
        </w:rPr>
        <w:t>Keywords</w:t>
      </w:r>
      <w:r>
        <w:rPr>
          <w:rFonts w:ascii="Calibri" w:hAnsi="Calibri" w:eastAsia="Times New Roman" w:cs="Times New Roman"/>
          <w:sz w:val="21"/>
        </w:rPr>
        <w:t>: difficulty commensurability; measurement invariance; quantile linking; multi-signal fusion; holdout validation; optimal error rate; negative results</w:t>
      </w:r>
    </w:p>
    <w:p>
      <w:pPr>
        <w:pStyle w:val="Heading1"/>
        <w:spacing w:before="200" w:after="80"/>
      </w:pPr>
      <w:r>
        <w:rPr>
          <w:rFonts w:ascii="Calibri" w:hAnsi="Calibri" w:eastAsia="Times New Roman" w:cs="Times New Roman"/>
          <w:sz w:val="32"/>
        </w:rPr>
        <w:t>1 Introduction</w:t>
      </w:r>
    </w:p>
    <w:p>
      <w:pPr>
        <w:pStyle w:val="Heading2"/>
        <w:spacing w:before="120" w:after="80"/>
      </w:pPr>
      <w:r>
        <w:rPr>
          <w:rFonts w:ascii="Calibri" w:hAnsi="Calibri" w:eastAsia="Times New Roman" w:cs="Times New Roman"/>
          <w:sz w:val="27"/>
        </w:rPr>
        <w:t>1.1 A skipped question</w:t>
      </w:r>
    </w:p>
    <w:p>
      <w:pPr>
        <w:spacing w:after="120"/>
      </w:pPr>
      <w:r>
        <w:rPr>
          <w:rFonts w:ascii="Calibri" w:hAnsi="Calibri" w:eastAsia="Times New Roman" w:cs="Times New Roman"/>
          <w:sz w:val="21"/>
        </w:rPr>
        <w:t xml:space="preserve">No adaptive learning system can avoid "what difficulty should the next item have." The standard engineering practice is to normalise several quantities called "difficulty" or "ability"—the mastery probability of knowledge tracing, the memory difficulty of spaced repetition, the ability estimate of competitive rating, the window success rate—into [0,1] and then add them up with weights. This is convenient, but it silently assumes a property that is rarely tested: that these quantities are </w:t>
      </w:r>
      <w:r>
        <w:rPr>
          <w:rFonts w:ascii="Calibri" w:hAnsi="Calibri" w:eastAsia="Times New Roman" w:cs="Times New Roman"/>
          <w:b/>
          <w:sz w:val="21"/>
        </w:rPr>
        <w:t>commensurable</w:t>
      </w:r>
      <w:r>
        <w:rPr>
          <w:rFonts w:ascii="Calibri" w:hAnsi="Calibri" w:eastAsia="Times New Roman" w:cs="Times New Roman"/>
          <w:sz w:val="21"/>
        </w:rPr>
        <w:t>, i.e. that they live on one common scale on which addition and weighting are meaningful operations. We reformulate "commensurability" as a falsifiable measurement proposition rather than a design vocabulary, and we ask how large the violation is in practice.</w:t>
      </w:r>
    </w:p>
    <w:p>
      <w:pPr>
        <w:pStyle w:val="Heading2"/>
        <w:spacing w:before="120" w:after="80"/>
      </w:pPr>
      <w:r>
        <w:rPr>
          <w:rFonts w:ascii="Calibri" w:hAnsi="Calibri" w:eastAsia="Times New Roman" w:cs="Times New Roman"/>
          <w:sz w:val="27"/>
        </w:rPr>
        <w:t>1.2 Why this is not a technical detail</w:t>
      </w:r>
    </w:p>
    <w:p>
      <w:pPr>
        <w:spacing w:after="120"/>
      </w:pPr>
      <w:r>
        <w:rPr>
          <w:rFonts w:ascii="Calibri" w:hAnsi="Calibri" w:eastAsia="Times New Roman" w:cs="Times New Roman"/>
          <w:sz w:val="21"/>
        </w:rPr>
        <w:t>A few decimal points of weight drift might look negligible, but it determines the system's interpretability and tunability. If the weight vector "0.45 / 0.35 / 0.20" becomes a different vector once the knowledge-tracing side is changed from one monotone parameterisation to another, then the weights no longer mean anything a practitioner can set, audit, or tune: they are artefacts of an arbitrary choice of scale. This is the practical stake of the proposition.</w:t>
      </w:r>
    </w:p>
    <w:p>
      <w:pPr>
        <w:pStyle w:val="Heading2"/>
        <w:spacing w:before="120" w:after="80"/>
      </w:pPr>
      <w:r>
        <w:rPr>
          <w:rFonts w:ascii="Calibri" w:hAnsi="Calibri" w:eastAsia="Times New Roman" w:cs="Times New Roman"/>
          <w:sz w:val="27"/>
        </w:rPr>
        <w:t>1.3 Contributions</w:t>
      </w:r>
    </w:p>
    <w:p>
      <w:pPr>
        <w:spacing w:after="120"/>
      </w:pPr>
      <w:r>
        <w:rPr>
          <w:rFonts w:ascii="Calibri" w:hAnsi="Calibri" w:eastAsia="Times New Roman" w:cs="Times New Roman"/>
          <w:sz w:val="21"/>
        </w:rPr>
        <w:t>We make four contributions. (i) We turn "difficulty commensurability" from a design vocabulary into a computable, falsifiable proposition (C1) and quantify the violation; the invariance half of C1 is an analytic identity, and our contribution is the magnitude of the discrepancy when that identity is broken. (ii) We show the violation is repairable: switching the fusion metric from linear min-max to an empirical-CDF-to-logit quantile linking removes the drift entirely (0.5357 → 0.0001 on real data). (iii) We show that the apparent gain of multi-signal fusion is criterion-dependent and can reverse completely under holdout validation, and we isolate both a directional error and a deployable correction (</w:t>
      </w:r>
      <w:r>
        <w:rPr>
          <w:rFonts w:ascii="Consolas" w:hAnsi="Consolas" w:eastAsia="Times New Roman" w:cs="Times New Roman"/>
          <w:sz w:val="21"/>
        </w:rPr>
        <w:t>srw7</w:t>
      </w:r>
      <w:r>
        <w:rPr>
          <w:rFonts w:ascii="Calibri" w:hAnsi="Calibri" w:eastAsia="Times New Roman" w:cs="Times New Roman"/>
          <w:sz w:val="21"/>
        </w:rPr>
        <w:t xml:space="preserve"> with λ*(k) shrinkage). (iv) We report the descriptive distribution of experienced difficulty on assist09 and state explicitly that it is not a test of any candidate optimal value; about the 85% rule this paper makes no claim. To prevent readers from inferring contributions from the title, we also state four explicit non-claims up front (§1.4 of the full paper).</w:t>
      </w:r>
    </w:p>
    <w:p>
      <w:pPr>
        <w:pStyle w:val="Heading1"/>
        <w:spacing w:before="200" w:after="80"/>
      </w:pPr>
      <w:r>
        <w:rPr>
          <w:rFonts w:ascii="Calibri" w:hAnsi="Calibri" w:eastAsia="Times New Roman" w:cs="Times New Roman"/>
          <w:sz w:val="32"/>
        </w:rPr>
        <w:t>2 Related Work</w:t>
      </w:r>
    </w:p>
    <w:p>
      <w:pPr>
        <w:spacing w:after="120"/>
      </w:pPr>
      <w:r>
        <w:rPr>
          <w:rFonts w:ascii="Calibri" w:hAnsi="Calibri" w:eastAsia="Times New Roman" w:cs="Times New Roman"/>
          <w:sz w:val="21"/>
        </w:rPr>
        <w:t xml:space="preserve">Deep knowledge tracing is the mainstream paradigm for predicting the probability that a student answers the next item correctly, but its output is a </w:t>
      </w:r>
      <w:r>
        <w:rPr>
          <w:rFonts w:ascii="Calibri" w:hAnsi="Calibri" w:eastAsia="Times New Roman" w:cs="Times New Roman"/>
          <w:b/>
          <w:sz w:val="21"/>
        </w:rPr>
        <w:t>probability</w:t>
      </w:r>
      <w:r>
        <w:rPr>
          <w:rFonts w:ascii="Calibri" w:hAnsi="Calibri" w:eastAsia="Times New Roman" w:cs="Times New Roman"/>
          <w:sz w:val="21"/>
        </w:rPr>
        <w:t>, not difficulty; using it as a difficulty signal creates the difficulty–ability confound. The test-equating literature solves the analogous question of whether different test forms are comparable and shares our measurement-theoretic root (Weber, Becker, Spinath &amp; Koch, 2025 compare five equating methods). On difficulty estimation, Easy2Hard-Bench (Ding et al., 2024) uses joint IRT and Glicko-2 calibration to provide labels for standardised LLM difficulty evaluation, representing the mainstream position that difficulty is estimable from behavioural signals. On the optimal error rate, Wilson et al. (2019) derive 15.87% on a gradient-descent binary-classification learner—a theorem about a specific algorithm whose derivation depends on five premises (binary classification, no hints, no skipping, no forgetting, and a fixed learning rule). Because adaptive systems almost never run online randomised experiments, we also draw on off-policy evaluation (AIPW/DR) for the causal side.</w:t>
      </w:r>
    </w:p>
    <w:p>
      <w:pPr>
        <w:pStyle w:val="Heading1"/>
        <w:spacing w:before="200" w:after="80"/>
      </w:pPr>
      <w:r>
        <w:rPr>
          <w:rFonts w:ascii="Calibri" w:hAnsi="Calibri" w:eastAsia="Times New Roman" w:cs="Times New Roman"/>
          <w:sz w:val="32"/>
        </w:rPr>
        <w:t>3 Theory: the Instability Proposition</w:t>
      </w:r>
    </w:p>
    <w:p>
      <w:pPr>
        <w:pStyle w:val="Heading2"/>
        <w:spacing w:before="120" w:after="80"/>
      </w:pPr>
      <w:r>
        <w:rPr>
          <w:rFonts w:ascii="Calibri" w:hAnsi="Calibri" w:eastAsia="Times New Roman" w:cs="Times New Roman"/>
          <w:sz w:val="27"/>
        </w:rPr>
        <w:t>3.1 Four difficulty sources and their scale types</w:t>
      </w:r>
    </w:p>
    <w:p>
      <w:pPr>
        <w:spacing w:after="120"/>
      </w:pPr>
      <w:r>
        <w:rPr>
          <w:rFonts w:ascii="Calibri" w:hAnsi="Calibri" w:eastAsia="Times New Roman" w:cs="Times New Roman"/>
          <w:b/>
          <w:sz w:val="21"/>
        </w:rPr>
        <w:t>Table 1. Four difficulty sources and their scale types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Source</w:t>
            </w:r>
          </w:p>
        </w:tc>
        <w:tc>
          <w:tcPr>
            <w:tcW w:type="dxa" w:w="3310"/>
            <w:shd w:val="clear" w:color="auto" w:fill="DDDDDD"/>
          </w:tcPr>
          <w:p>
            <w:r>
              <w:rPr>
                <w:b/>
              </w:rPr>
            </w:r>
            <w:r>
              <w:rPr>
                <w:rFonts w:ascii="Calibri" w:hAnsi="Calibri" w:eastAsia="Times New Roman" w:cs="Times New Roman"/>
                <w:b/>
                <w:sz w:val="19"/>
              </w:rPr>
              <w:t>Scale type</w:t>
            </w:r>
          </w:p>
        </w:tc>
        <w:tc>
          <w:tcPr>
            <w:tcW w:type="dxa" w:w="3310"/>
            <w:shd w:val="clear" w:color="auto" w:fill="DDDDDD"/>
          </w:tcPr>
          <w:p>
            <w:r>
              <w:rPr>
                <w:b/>
              </w:rPr>
            </w:r>
            <w:r>
              <w:rPr>
                <w:rFonts w:ascii="Calibri" w:hAnsi="Calibri" w:eastAsia="Times New Roman" w:cs="Times New Roman"/>
                <w:b/>
                <w:sz w:val="19"/>
              </w:rPr>
              <w:t>Construction</w:t>
            </w:r>
          </w:p>
        </w:tc>
        <w:tc>
          <w:tcPr>
            <w:tcW w:type="dxa" w:w="3310"/>
            <w:shd w:val="clear" w:color="auto" w:fill="DDDDDD"/>
          </w:tcPr>
          <w:p>
            <w:r>
              <w:rPr>
                <w:b/>
              </w:rPr>
            </w:r>
            <w:r>
              <w:rPr>
                <w:rFonts w:ascii="Calibri" w:hAnsi="Calibri" w:eastAsia="Times New Roman" w:cs="Times New Roman"/>
                <w:b/>
                <w:sz w:val="19"/>
              </w:rPr>
              <w:t>Dependence</w:t>
            </w:r>
          </w:p>
        </w:tc>
      </w:tr>
      <w:tr>
        <w:tc>
          <w:tcPr>
            <w:tcW w:type="dxa" w:w="3310"/>
          </w:tcPr>
          <w:p>
            <w:r/>
            <w:r>
              <w:rPr>
                <w:rFonts w:ascii="Calibri" w:hAnsi="Calibri" w:eastAsia="Times New Roman" w:cs="Times New Roman"/>
                <w:sz w:val="19"/>
              </w:rPr>
              <w:t>KT mastery m</w:t>
            </w:r>
          </w:p>
        </w:tc>
        <w:tc>
          <w:tcPr>
            <w:tcW w:type="dxa" w:w="3310"/>
          </w:tcPr>
          <w:p>
            <w:r/>
            <w:r>
              <w:rPr>
                <w:rFonts w:ascii="Calibri" w:hAnsi="Calibri" w:eastAsia="Times New Roman" w:cs="Times New Roman"/>
                <w:sz w:val="19"/>
              </w:rPr>
              <w:t>bounded latent variable (approx. ordinal after integerisation)</w:t>
            </w:r>
          </w:p>
        </w:tc>
        <w:tc>
          <w:tcPr>
            <w:tcW w:type="dxa" w:w="3310"/>
          </w:tcPr>
          <w:p>
            <w:r/>
            <w:r>
              <w:rPr>
                <w:rFonts w:ascii="Calibri" w:hAnsi="Calibri" w:eastAsia="Times New Roman" w:cs="Times New Roman"/>
                <w:sz w:val="19"/>
              </w:rPr>
              <w:t>machine-inferred</w:t>
            </w:r>
          </w:p>
        </w:tc>
        <w:tc>
          <w:tcPr>
            <w:tcW w:type="dxa" w:w="3310"/>
          </w:tcPr>
          <w:p>
            <w:r/>
            <w:r>
              <w:rPr>
                <w:rFonts w:ascii="Calibri" w:hAnsi="Calibri" w:eastAsia="Times New Roman" w:cs="Times New Roman"/>
                <w:sz w:val="19"/>
              </w:rPr>
              <w:t>depends on real responses</w:t>
            </w:r>
          </w:p>
        </w:tc>
      </w:tr>
      <w:tr>
        <w:tc>
          <w:tcPr>
            <w:tcW w:type="dxa" w:w="3310"/>
          </w:tcPr>
          <w:p>
            <w:r/>
            <w:r>
              <w:rPr>
                <w:rFonts w:ascii="Calibri" w:hAnsi="Calibri" w:eastAsia="Times New Roman" w:cs="Times New Roman"/>
                <w:sz w:val="19"/>
              </w:rPr>
              <w:t>SR memory difficulty D</w:t>
            </w:r>
          </w:p>
        </w:tc>
        <w:tc>
          <w:tcPr>
            <w:tcW w:type="dxa" w:w="3310"/>
          </w:tcPr>
          <w:p>
            <w:r/>
            <w:r>
              <w:rPr>
                <w:rFonts w:ascii="Calibri" w:hAnsi="Calibri" w:eastAsia="Times New Roman" w:cs="Times New Roman"/>
                <w:sz w:val="19"/>
              </w:rPr>
              <w:t>ordinal scale</w:t>
            </w:r>
          </w:p>
        </w:tc>
        <w:tc>
          <w:tcPr>
            <w:tcW w:type="dxa" w:w="3310"/>
          </w:tcPr>
          <w:p>
            <w:r/>
            <w:r>
              <w:rPr>
                <w:rFonts w:ascii="Calibri" w:hAnsi="Calibri" w:eastAsia="Times New Roman" w:cs="Times New Roman"/>
                <w:sz w:val="19"/>
              </w:rPr>
              <w:t>machine + human</w:t>
            </w:r>
          </w:p>
        </w:tc>
        <w:tc>
          <w:tcPr>
            <w:tcW w:type="dxa" w:w="3310"/>
          </w:tcPr>
          <w:p>
            <w:r/>
            <w:r>
              <w:rPr>
                <w:rFonts w:ascii="Calibri" w:hAnsi="Calibri" w:eastAsia="Times New Roman" w:cs="Times New Roman"/>
                <w:sz w:val="19"/>
              </w:rPr>
              <w:t>model-specific</w:t>
            </w:r>
          </w:p>
        </w:tc>
      </w:tr>
      <w:tr>
        <w:tc>
          <w:tcPr>
            <w:tcW w:type="dxa" w:w="3310"/>
          </w:tcPr>
          <w:p>
            <w:r/>
            <w:r>
              <w:rPr>
                <w:rFonts w:ascii="Calibri" w:hAnsi="Calibri" w:eastAsia="Times New Roman" w:cs="Times New Roman"/>
                <w:sz w:val="19"/>
              </w:rPr>
              <w:t>EL competitive rating θ_EL</w:t>
            </w:r>
          </w:p>
        </w:tc>
        <w:tc>
          <w:tcPr>
            <w:tcW w:type="dxa" w:w="3310"/>
          </w:tcPr>
          <w:p>
            <w:r/>
            <w:r>
              <w:rPr>
                <w:rFonts w:ascii="Calibri" w:hAnsi="Calibri" w:eastAsia="Times New Roman" w:cs="Times New Roman"/>
                <w:sz w:val="19"/>
              </w:rPr>
              <w:t>interval scale (log-odds)</w:t>
            </w:r>
          </w:p>
        </w:tc>
        <w:tc>
          <w:tcPr>
            <w:tcW w:type="dxa" w:w="3310"/>
          </w:tcPr>
          <w:p>
            <w:r/>
            <w:r>
              <w:rPr>
                <w:rFonts w:ascii="Calibri" w:hAnsi="Calibri" w:eastAsia="Times New Roman" w:cs="Times New Roman"/>
                <w:sz w:val="19"/>
              </w:rPr>
              <w:t>machine</w:t>
            </w:r>
          </w:p>
        </w:tc>
        <w:tc>
          <w:tcPr>
            <w:tcW w:type="dxa" w:w="3310"/>
          </w:tcPr>
          <w:p>
            <w:r/>
            <w:r>
              <w:rPr>
                <w:rFonts w:ascii="Calibri" w:hAnsi="Calibri" w:eastAsia="Times New Roman" w:cs="Times New Roman"/>
                <w:sz w:val="19"/>
              </w:rPr>
              <w:t>not directly dependent on ground truth</w:t>
            </w:r>
          </w:p>
        </w:tc>
      </w:tr>
      <w:tr>
        <w:tc>
          <w:tcPr>
            <w:tcW w:type="dxa" w:w="3310"/>
          </w:tcPr>
          <w:p>
            <w:r/>
            <w:r>
              <w:rPr>
                <w:rFonts w:ascii="Calibri" w:hAnsi="Calibri" w:eastAsia="Times New Roman" w:cs="Times New Roman"/>
                <w:sz w:val="19"/>
              </w:rPr>
              <w:t>WR window success rate r</w:t>
            </w:r>
          </w:p>
        </w:tc>
        <w:tc>
          <w:tcPr>
            <w:tcW w:type="dxa" w:w="3310"/>
          </w:tcPr>
          <w:p>
            <w:r/>
            <w:r>
              <w:rPr>
                <w:rFonts w:ascii="Calibri" w:hAnsi="Calibri" w:eastAsia="Times New Roman" w:cs="Times New Roman"/>
                <w:sz w:val="19"/>
              </w:rPr>
              <w:t>ratio scale</w:t>
            </w:r>
          </w:p>
        </w:tc>
        <w:tc>
          <w:tcPr>
            <w:tcW w:type="dxa" w:w="3310"/>
          </w:tcPr>
          <w:p>
            <w:r/>
            <w:r>
              <w:rPr>
                <w:rFonts w:ascii="Calibri" w:hAnsi="Calibri" w:eastAsia="Times New Roman" w:cs="Times New Roman"/>
                <w:sz w:val="19"/>
              </w:rPr>
              <w:t>machine</w:t>
            </w:r>
          </w:p>
        </w:tc>
        <w:tc>
          <w:tcPr>
            <w:tcW w:type="dxa" w:w="3310"/>
          </w:tcPr>
          <w:p>
            <w:r/>
            <w:r>
              <w:rPr>
                <w:rFonts w:ascii="Calibri" w:hAnsi="Calibri" w:eastAsia="Times New Roman" w:cs="Times New Roman"/>
                <w:sz w:val="19"/>
              </w:rPr>
              <w:t>depends on real responses</w:t>
            </w:r>
          </w:p>
        </w:tc>
      </w:tr>
    </w:tbl>
    <w:p/>
    <w:p>
      <w:pPr>
        <w:pStyle w:val="Heading2"/>
        <w:spacing w:before="120" w:after="80"/>
      </w:pPr>
      <w:r>
        <w:rPr>
          <w:rFonts w:ascii="Calibri" w:hAnsi="Calibri" w:eastAsia="Times New Roman" w:cs="Times New Roman"/>
          <w:sz w:val="27"/>
        </w:rPr>
        <w:t>3.2 Two metrics and their invariance</w:t>
      </w:r>
    </w:p>
    <w:p>
      <w:pPr>
        <w:spacing w:after="120"/>
      </w:pPr>
      <w:r>
        <w:rPr>
          <w:rFonts w:ascii="Calibri" w:hAnsi="Calibri" w:eastAsia="Times New Roman" w:cs="Times New Roman"/>
          <w:sz w:val="21"/>
        </w:rPr>
        <w:t xml:space="preserve">Let the fusion rule be S = Σ_k w_k · z_k, where z_k is the k-th source after mapping and w_k the nominal weight, and define the </w:t>
      </w:r>
      <w:r>
        <w:rPr>
          <w:rFonts w:ascii="Calibri" w:hAnsi="Calibri" w:eastAsia="Times New Roman" w:cs="Times New Roman"/>
          <w:b/>
          <w:sz w:val="21"/>
        </w:rPr>
        <w:t>effective weight</w:t>
      </w:r>
      <w:r>
        <w:rPr>
          <w:rFonts w:ascii="Calibri" w:hAnsi="Calibri" w:eastAsia="Times New Roman" w:cs="Times New Roman"/>
          <w:sz w:val="21"/>
        </w:rPr>
        <w:t xml:space="preserve"> π by marginal contribution. Metric A (linear [0,1]) applies min-max per column and is invariant </w:t>
      </w:r>
      <w:r>
        <w:rPr>
          <w:rFonts w:ascii="Calibri" w:hAnsi="Calibri" w:eastAsia="Times New Roman" w:cs="Times New Roman"/>
          <w:b/>
          <w:sz w:val="21"/>
        </w:rPr>
        <w:t>only</w:t>
      </w:r>
      <w:r>
        <w:rPr>
          <w:rFonts w:ascii="Calibri" w:hAnsi="Calibri" w:eastAsia="Times New Roman" w:cs="Times New Roman"/>
          <w:sz w:val="21"/>
        </w:rPr>
        <w:t xml:space="preserve"> to affine transforms, which min-max absorbs. Metric B (quantile logit) links each column through the step empirical CDF to a logit latent scale, ψ = ln(p/(1−p)) with p = (#{x_cal ≤ x} + 0.5)/(n + 1), and is invariant to </w:t>
      </w:r>
      <w:r>
        <w:rPr>
          <w:rFonts w:ascii="Calibri" w:hAnsi="Calibri" w:eastAsia="Times New Roman" w:cs="Times New Roman"/>
          <w:b/>
          <w:sz w:val="21"/>
        </w:rPr>
        <w:t>any</w:t>
      </w:r>
      <w:r>
        <w:rPr>
          <w:rFonts w:ascii="Calibri" w:hAnsi="Calibri" w:eastAsia="Times New Roman" w:cs="Times New Roman"/>
          <w:sz w:val="21"/>
        </w:rPr>
        <w:t xml:space="preserve"> strictly monotone transform by rank invariance.</w:t>
      </w:r>
    </w:p>
    <w:p>
      <w:pPr>
        <w:pStyle w:val="Heading2"/>
        <w:spacing w:before="120" w:after="80"/>
      </w:pPr>
      <w:r>
        <w:rPr>
          <w:rFonts w:ascii="Calibri" w:hAnsi="Calibri" w:eastAsia="Times New Roman" w:cs="Times New Roman"/>
          <w:sz w:val="27"/>
        </w:rPr>
        <w:t>3.3 Proposition C1</w:t>
      </w:r>
    </w:p>
    <w:p>
      <w:pPr>
        <w:spacing w:after="120"/>
      </w:pPr>
      <w:r>
        <w:rPr>
          <w:rFonts w:ascii="Calibri" w:hAnsi="Calibri" w:eastAsia="Times New Roman" w:cs="Times New Roman"/>
          <w:b/>
          <w:sz w:val="21"/>
        </w:rPr>
        <w:t>Proposition C1 (instability).</w:t>
      </w:r>
      <w:r>
        <w:rPr>
          <w:rFonts w:ascii="Calibri" w:hAnsi="Calibri" w:eastAsia="Times New Roman" w:cs="Times New Roman"/>
          <w:sz w:val="21"/>
        </w:rPr>
        <w:t xml:space="preserve"> If sources are each first normalised to [0,1] and then linearly combined, the effective weight π generally differs from the nominal weight w and drifts with any monotone reparameterisation of a single source; if sources are first linked through the empirical CDF to a logit scale, the effective weights are invariant and equal the nominal weights. The invariance half is an </w:t>
      </w:r>
      <w:r>
        <w:rPr>
          <w:rFonts w:ascii="Calibri" w:hAnsi="Calibri" w:eastAsia="Times New Roman" w:cs="Times New Roman"/>
          <w:b/>
          <w:sz w:val="21"/>
        </w:rPr>
        <w:t>analytic identity</w:t>
      </w:r>
      <w:r>
        <w:rPr>
          <w:rFonts w:ascii="Calibri" w:hAnsi="Calibri" w:eastAsia="Times New Roman" w:cs="Times New Roman"/>
          <w:sz w:val="21"/>
        </w:rPr>
        <w:t>, not an empirical discovery; the empirical content is the size of the violation under metric A.</w:t>
      </w:r>
    </w:p>
    <w:p>
      <w:pPr>
        <w:pStyle w:val="Heading1"/>
        <w:spacing w:before="200" w:after="80"/>
      </w:pPr>
      <w:r>
        <w:rPr>
          <w:rFonts w:ascii="Calibri" w:hAnsi="Calibri" w:eastAsia="Times New Roman" w:cs="Times New Roman"/>
          <w:sz w:val="32"/>
        </w:rPr>
        <w:t>4 Synthetic Validation</w:t>
      </w:r>
    </w:p>
    <w:p>
      <w:pPr>
        <w:spacing w:after="120"/>
      </w:pPr>
      <w:r>
        <w:rPr>
          <w:rFonts w:ascii="Calibri" w:hAnsi="Calibri" w:eastAsia="Times New Roman" w:cs="Times New Roman"/>
          <w:sz w:val="21"/>
        </w:rPr>
        <w:t>We test C1 in an environment with known truth structure: common latent ability θ ∼ N(0,1), n = 500 with an independent calibration sample n_cal = 500, the four sources being monotone functions of θ (X₁ mastery σ(1.1θ + 0.2 + 0.30ε₁); X₂ memory difficulty exp(0.7θ + 0.3 + 0.25ε₂); X₃ competitive rating 1200 + 250θ + 40ε₃; X₄ window success rate σ(0.9θ − 0.1 + 0.30ε₄)).</w:t>
      </w:r>
    </w:p>
    <w:p>
      <w:pPr>
        <w:spacing w:after="120"/>
      </w:pPr>
      <w:r>
        <w:rPr>
          <w:rFonts w:ascii="Calibri" w:hAnsi="Calibri" w:eastAsia="Times New Roman" w:cs="Times New Roman"/>
          <w:b/>
          <w:sz w:val="21"/>
        </w:rPr>
        <w:t>Table 2. Baseline effective weights and Metric A drift (synthetic)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Quantity</w:t>
            </w:r>
          </w:p>
        </w:tc>
        <w:tc>
          <w:tcPr>
            <w:tcW w:type="dxa" w:w="4413"/>
            <w:shd w:val="clear" w:color="auto" w:fill="DDDDDD"/>
          </w:tcPr>
          <w:p>
            <w:r>
              <w:rPr>
                <w:b/>
              </w:rPr>
            </w:r>
            <w:r>
              <w:rPr>
                <w:rFonts w:ascii="Calibri" w:hAnsi="Calibri" w:eastAsia="Times New Roman" w:cs="Times New Roman"/>
                <w:b/>
                <w:sz w:val="19"/>
              </w:rPr>
              <w:t>Linear [0,1]</w:t>
            </w:r>
          </w:p>
        </w:tc>
        <w:tc>
          <w:tcPr>
            <w:tcW w:type="dxa" w:w="4413"/>
            <w:shd w:val="clear" w:color="auto" w:fill="DDDDDD"/>
          </w:tcPr>
          <w:p>
            <w:r>
              <w:rPr>
                <w:b/>
              </w:rPr>
            </w:r>
            <w:r>
              <w:rPr>
                <w:rFonts w:ascii="Calibri" w:hAnsi="Calibri" w:eastAsia="Times New Roman" w:cs="Times New Roman"/>
                <w:b/>
                <w:sz w:val="19"/>
              </w:rPr>
              <w:t>Quantile logit</w:t>
            </w:r>
          </w:p>
        </w:tc>
      </w:tr>
      <w:tr>
        <w:tc>
          <w:tcPr>
            <w:tcW w:type="dxa" w:w="4413"/>
          </w:tcPr>
          <w:p>
            <w:r/>
            <w:r>
              <w:rPr>
                <w:rFonts w:ascii="Calibri" w:hAnsi="Calibri" w:eastAsia="Times New Roman" w:cs="Times New Roman"/>
                <w:sz w:val="19"/>
              </w:rPr>
              <w:t>π₁ (nominal 0.400)</w:t>
            </w:r>
          </w:p>
        </w:tc>
        <w:tc>
          <w:tcPr>
            <w:tcW w:type="dxa" w:w="4413"/>
          </w:tcPr>
          <w:p>
            <w:r/>
            <w:r>
              <w:rPr>
                <w:rFonts w:ascii="Calibri" w:hAnsi="Calibri" w:eastAsia="Times New Roman" w:cs="Times New Roman"/>
                <w:b/>
                <w:sz w:val="19"/>
              </w:rPr>
              <w:t>0.532 ± 0.026</w:t>
            </w:r>
          </w:p>
        </w:tc>
        <w:tc>
          <w:tcPr>
            <w:tcW w:type="dxa" w:w="4413"/>
          </w:tcPr>
          <w:p>
            <w:r/>
            <w:r>
              <w:rPr>
                <w:rFonts w:ascii="Calibri" w:hAnsi="Calibri" w:eastAsia="Times New Roman" w:cs="Times New Roman"/>
                <w:sz w:val="19"/>
              </w:rPr>
              <w:t>0.403 ± 0.006</w:t>
            </w:r>
          </w:p>
        </w:tc>
      </w:tr>
      <w:tr>
        <w:tc>
          <w:tcPr>
            <w:tcW w:type="dxa" w:w="4413"/>
          </w:tcPr>
          <w:p>
            <w:r/>
            <w:r>
              <w:rPr>
                <w:rFonts w:ascii="Calibri" w:hAnsi="Calibri" w:eastAsia="Times New Roman" w:cs="Times New Roman"/>
                <w:sz w:val="19"/>
              </w:rPr>
              <w:t>π₂ (0.300) / π₃ (0.200) / π₄ (0.100)</w:t>
            </w:r>
          </w:p>
        </w:tc>
        <w:tc>
          <w:tcPr>
            <w:tcW w:type="dxa" w:w="4413"/>
          </w:tcPr>
          <w:p>
            <w:r/>
            <w:r>
              <w:rPr>
                <w:rFonts w:ascii="Calibri" w:hAnsi="Calibri" w:eastAsia="Times New Roman" w:cs="Times New Roman"/>
                <w:sz w:val="19"/>
              </w:rPr>
              <w:t>0.171 / 0.179 / 0.119</w:t>
            </w:r>
          </w:p>
        </w:tc>
        <w:tc>
          <w:tcPr>
            <w:tcW w:type="dxa" w:w="4413"/>
          </w:tcPr>
          <w:p>
            <w:r/>
            <w:r>
              <w:rPr>
                <w:rFonts w:ascii="Calibri" w:hAnsi="Calibri" w:eastAsia="Times New Roman" w:cs="Times New Roman"/>
                <w:sz w:val="19"/>
              </w:rPr>
              <w:t>0.299 / 0.201 / 0.097</w:t>
            </w:r>
          </w:p>
        </w:tc>
      </w:tr>
      <w:tr>
        <w:tc>
          <w:tcPr>
            <w:tcW w:type="dxa" w:w="4413"/>
          </w:tcPr>
          <w:p>
            <w:r/>
            <w:r>
              <w:rPr>
                <w:rFonts w:ascii="Calibri" w:hAnsi="Calibri" w:eastAsia="Times New Roman" w:cs="Times New Roman"/>
                <w:sz w:val="19"/>
              </w:rPr>
              <w:t>L1 drift, affine (9 transforms)</w:t>
            </w:r>
          </w:p>
        </w:tc>
        <w:tc>
          <w:tcPr>
            <w:tcW w:type="dxa" w:w="4413"/>
          </w:tcPr>
          <w:p>
            <w:r/>
            <w:r>
              <w:rPr>
                <w:rFonts w:ascii="Calibri" w:hAnsi="Calibri" w:eastAsia="Times New Roman" w:cs="Times New Roman"/>
                <w:b/>
                <w:sz w:val="19"/>
              </w:rPr>
              <w:t>0.000000</w:t>
            </w:r>
          </w:p>
        </w:tc>
        <w:tc>
          <w:tcPr>
            <w:tcW w:type="dxa" w:w="4413"/>
          </w:tcPr>
          <w:p>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L1 drift, nonlinear monotone (7)</w:t>
            </w:r>
          </w:p>
        </w:tc>
        <w:tc>
          <w:tcPr>
            <w:tcW w:type="dxa" w:w="4413"/>
          </w:tcPr>
          <w:p>
            <w:r/>
            <w:r>
              <w:rPr>
                <w:rFonts w:ascii="Calibri" w:hAnsi="Calibri" w:eastAsia="Times New Roman" w:cs="Times New Roman"/>
                <w:b/>
                <w:sz w:val="19"/>
              </w:rPr>
              <w:t>0.127620</w:t>
            </w:r>
            <w:r>
              <w:rPr>
                <w:rFonts w:ascii="Calibri" w:hAnsi="Calibri" w:eastAsia="Times New Roman" w:cs="Times New Roman"/>
                <w:sz w:val="19"/>
              </w:rPr>
              <w:t xml:space="preserve"> (SD 0.019553)</w:t>
            </w:r>
          </w:p>
        </w:tc>
        <w:tc>
          <w:tcPr>
            <w:tcW w:type="dxa" w:w="4413"/>
          </w:tcPr>
          <w:p>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Mean rank reversal / proportion with reversal</w:t>
            </w:r>
          </w:p>
        </w:tc>
        <w:tc>
          <w:tcPr>
            <w:tcW w:type="dxa" w:w="4413"/>
          </w:tcPr>
          <w:p>
            <w:r/>
            <w:r>
              <w:rPr>
                <w:rFonts w:ascii="Calibri" w:hAnsi="Calibri" w:eastAsia="Times New Roman" w:cs="Times New Roman"/>
                <w:sz w:val="19"/>
              </w:rPr>
              <w:t xml:space="preserve">0.513 / </w:t>
            </w:r>
            <w:r>
              <w:rPr>
                <w:rFonts w:ascii="Calibri" w:hAnsi="Calibri" w:eastAsia="Times New Roman" w:cs="Times New Roman"/>
                <w:b/>
                <w:sz w:val="19"/>
              </w:rPr>
              <w:t>0.364</w:t>
            </w:r>
          </w:p>
        </w:tc>
        <w:tc>
          <w:tcPr>
            <w:tcW w:type="dxa" w:w="4413"/>
          </w:tcPr>
          <w:p>
            <w:r/>
            <w:r>
              <w:rPr>
                <w:rFonts w:ascii="Calibri" w:hAnsi="Calibri" w:eastAsia="Times New Roman" w:cs="Times New Roman"/>
                <w:sz w:val="19"/>
              </w:rPr>
              <w:t>0.000 / 0.000</w:t>
            </w:r>
          </w:p>
        </w:tc>
      </w:tr>
      <w:tr>
        <w:tc>
          <w:tcPr>
            <w:tcW w:type="dxa" w:w="4413"/>
          </w:tcPr>
          <w:p>
            <w:r/>
            <w:r>
              <w:rPr>
                <w:rFonts w:ascii="Calibri" w:hAnsi="Calibri" w:eastAsia="Times New Roman" w:cs="Times New Roman"/>
                <w:sz w:val="19"/>
              </w:rPr>
              <w:t>Spearman vs. baseline weight</w:t>
            </w:r>
          </w:p>
        </w:tc>
        <w:tc>
          <w:tcPr>
            <w:tcW w:type="dxa" w:w="4413"/>
          </w:tcPr>
          <w:p>
            <w:r/>
            <w:r>
              <w:rPr>
                <w:rFonts w:ascii="Calibri" w:hAnsi="Calibri" w:eastAsia="Times New Roman" w:cs="Times New Roman"/>
                <w:sz w:val="19"/>
              </w:rPr>
              <w:t>0.8646</w:t>
            </w:r>
          </w:p>
        </w:tc>
        <w:tc>
          <w:tcPr>
            <w:tcW w:type="dxa" w:w="4413"/>
          </w:tcPr>
          <w:p>
            <w:r/>
            <w:r>
              <w:rPr>
                <w:rFonts w:ascii="Calibri" w:hAnsi="Calibri" w:eastAsia="Times New Roman" w:cs="Times New Roman"/>
                <w:sz w:val="19"/>
              </w:rPr>
              <w:t>—</w:t>
            </w:r>
          </w:p>
        </w:tc>
      </w:tr>
    </w:tbl>
    <w:p/>
    <w:p>
      <w:pPr>
        <w:spacing w:after="120"/>
      </w:pPr>
      <w:r>
        <w:rPr>
          <w:rFonts w:ascii="Calibri" w:hAnsi="Calibri" w:eastAsia="Times New Roman" w:cs="Times New Roman"/>
          <w:sz w:val="21"/>
        </w:rPr>
        <w:t xml:space="preserve">Metric B gives exactly zero drift under shared calibration and only linking sampling noise under independent calibration (0.0160 affine, 0.0159 nonlinear), with zero reversals. The strongest counterexample applies </w:t>
      </w:r>
      <w:r>
        <w:rPr>
          <w:rFonts w:ascii="Consolas" w:hAnsi="Consolas" w:eastAsia="Times New Roman" w:cs="Times New Roman"/>
          <w:sz w:val="21"/>
        </w:rPr>
        <w:t>logit_minmax</w:t>
      </w:r>
      <w:r>
        <w:rPr>
          <w:rFonts w:ascii="Calibri" w:hAnsi="Calibri" w:eastAsia="Times New Roman" w:cs="Times New Roman"/>
          <w:sz w:val="21"/>
        </w:rPr>
        <w:t xml:space="preserve"> (strictly monotone) to X₁ mastery: baseline π⁽⁰⁾ = [0.5429, 0.1514, 0.1831, 0.1226] (order [1,3,2,4]) becomes π⁽ᵍ⁾ = [0.1983, 0.2840, 0.3110, 0.2068] (order [4,2,1,3]), L1 = 0.6893 with 3 rank reversals (complete reversal) and Spearman −0.20, while the quantile-logit metric gives |Δπ| = 0.000 with no reversal. Per source, the most severe transforms are: X₁ mastery under </w:t>
      </w:r>
      <w:r>
        <w:rPr>
          <w:rFonts w:ascii="Consolas" w:hAnsi="Consolas" w:eastAsia="Times New Roman" w:cs="Times New Roman"/>
          <w:sz w:val="21"/>
        </w:rPr>
        <w:t>logit_minmax</w:t>
      </w:r>
      <w:r>
        <w:rPr>
          <w:rFonts w:ascii="Calibri" w:hAnsi="Calibri" w:eastAsia="Times New Roman" w:cs="Times New Roman"/>
          <w:sz w:val="21"/>
        </w:rPr>
        <w:t xml:space="preserve"> (L1 0.674, 95% interval [0.641, 0.709], mean reversal 2.835) and under </w:t>
      </w:r>
      <w:r>
        <w:rPr>
          <w:rFonts w:ascii="Consolas" w:hAnsi="Consolas" w:eastAsia="Times New Roman" w:cs="Times New Roman"/>
          <w:sz w:val="21"/>
        </w:rPr>
        <w:t>log</w:t>
      </w:r>
      <w:r>
        <w:rPr>
          <w:rFonts w:ascii="Calibri" w:hAnsi="Calibri" w:eastAsia="Times New Roman" w:cs="Times New Roman"/>
          <w:sz w:val="21"/>
        </w:rPr>
        <w:t xml:space="preserve"> (0.193, [0.116, 0.325]); X₂ memory difficulty under </w:t>
      </w:r>
      <w:r>
        <w:rPr>
          <w:rFonts w:ascii="Consolas" w:hAnsi="Consolas" w:eastAsia="Times New Roman" w:cs="Times New Roman"/>
          <w:sz w:val="21"/>
        </w:rPr>
        <w:t>probit_std</w:t>
      </w:r>
      <w:r>
        <w:rPr>
          <w:rFonts w:ascii="Calibri" w:hAnsi="Calibri" w:eastAsia="Times New Roman" w:cs="Times New Roman"/>
          <w:sz w:val="21"/>
        </w:rPr>
        <w:t xml:space="preserve"> (0.368, [0.274, 0.487]) and </w:t>
      </w:r>
      <w:r>
        <w:rPr>
          <w:rFonts w:ascii="Consolas" w:hAnsi="Consolas" w:eastAsia="Times New Roman" w:cs="Times New Roman"/>
          <w:sz w:val="21"/>
        </w:rPr>
        <w:t>exp_scaled</w:t>
      </w:r>
      <w:r>
        <w:rPr>
          <w:rFonts w:ascii="Calibri" w:hAnsi="Calibri" w:eastAsia="Times New Roman" w:cs="Times New Roman"/>
          <w:sz w:val="21"/>
        </w:rPr>
        <w:t xml:space="preserve"> (0.286, [0.163, 0.343]); and X₃ competitive rating under </w:t>
      </w:r>
      <w:r>
        <w:rPr>
          <w:rFonts w:ascii="Consolas" w:hAnsi="Consolas" w:eastAsia="Times New Roman" w:cs="Times New Roman"/>
          <w:sz w:val="21"/>
        </w:rPr>
        <w:t>logit_minmax</w:t>
      </w:r>
      <w:r>
        <w:rPr>
          <w:rFonts w:ascii="Calibri" w:hAnsi="Calibri" w:eastAsia="Times New Roman" w:cs="Times New Roman"/>
          <w:sz w:val="21"/>
        </w:rPr>
        <w:t xml:space="preserve"> (0.274, [0.248, 0.298]). The pattern is that sources already living on a bounded probability scale suffer most under logit-type reparameterisation—precisely the transform a practitioner reaches for when a signal "looks like a probability"—which makes this failure mode a live engineering hazard rather than a contrived edge case.</w:t>
      </w:r>
    </w:p>
    <w:p>
      <w:pPr>
        <w:spacing w:after="120"/>
      </w:pPr>
      <w:r>
        <w:rPr>
          <w:rFonts w:ascii="Calibri" w:hAnsi="Calibri" w:eastAsia="Times New Roman" w:cs="Times New Roman"/>
          <w:sz w:val="21"/>
        </w:rPr>
        <w:t xml:space="preserve">Two boundaries must be stated: this is entirely synthetic data, and the four sources sharing a single latent variable is the </w:t>
      </w:r>
      <w:r>
        <w:rPr>
          <w:rFonts w:ascii="Calibri" w:hAnsi="Calibri" w:eastAsia="Times New Roman" w:cs="Times New Roman"/>
          <w:b/>
          <w:sz w:val="21"/>
        </w:rPr>
        <w:t>most favourable</w:t>
      </w:r>
      <w:r>
        <w:rPr>
          <w:rFonts w:ascii="Calibri" w:hAnsi="Calibri" w:eastAsia="Times New Roman" w:cs="Times New Roman"/>
          <w:sz w:val="21"/>
        </w:rPr>
        <w:t xml:space="preserve"> environment for commensurability—even so, linear fusion fails.</w:t>
      </w:r>
    </w:p>
    <w:p>
      <w:pPr>
        <w:pStyle w:val="Heading1"/>
        <w:spacing w:before="200" w:after="80"/>
      </w:pPr>
      <w:r>
        <w:rPr>
          <w:rFonts w:ascii="Calibri" w:hAnsi="Calibri" w:eastAsia="Times New Roman" w:cs="Times New Roman"/>
          <w:sz w:val="32"/>
        </w:rPr>
        <w:t>5 Real-Data Test I: Metric Repair and Two Negative Results</w:t>
      </w:r>
    </w:p>
    <w:p>
      <w:pPr>
        <w:pStyle w:val="Heading2"/>
        <w:spacing w:before="120" w:after="80"/>
      </w:pPr>
      <w:r>
        <w:rPr>
          <w:rFonts w:ascii="Calibri" w:hAnsi="Calibri" w:eastAsia="Times New Roman" w:cs="Times New Roman"/>
          <w:sz w:val="27"/>
        </w:rPr>
        <w:t>5.1 Data</w:t>
      </w:r>
    </w:p>
    <w:p>
      <w:pPr>
        <w:spacing w:after="120"/>
      </w:pPr>
      <w:r>
        <w:rPr>
          <w:rFonts w:ascii="Calibri" w:hAnsi="Calibri" w:eastAsia="Times New Roman" w:cs="Times New Roman"/>
          <w:b/>
          <w:sz w:val="21"/>
        </w:rPr>
        <w:t>Table 3. Datasets, scale, and licence obligations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Dataset</w:t>
            </w:r>
          </w:p>
        </w:tc>
        <w:tc>
          <w:tcPr>
            <w:tcW w:type="dxa" w:w="3310"/>
            <w:shd w:val="clear" w:color="auto" w:fill="DDDDDD"/>
          </w:tcPr>
          <w:p>
            <w:r>
              <w:rPr>
                <w:b/>
              </w:rPr>
            </w:r>
            <w:r>
              <w:rPr>
                <w:rFonts w:ascii="Calibri" w:hAnsi="Calibri" w:eastAsia="Times New Roman" w:cs="Times New Roman"/>
                <w:b/>
                <w:sz w:val="19"/>
              </w:rPr>
              <w:t>Scale</w:t>
            </w:r>
          </w:p>
        </w:tc>
        <w:tc>
          <w:tcPr>
            <w:tcW w:type="dxa" w:w="3310"/>
            <w:shd w:val="clear" w:color="auto" w:fill="DDDDDD"/>
          </w:tcPr>
          <w:p>
            <w:r>
              <w:rPr>
                <w:b/>
              </w:rPr>
            </w:r>
            <w:r>
              <w:rPr>
                <w:rFonts w:ascii="Calibri" w:hAnsi="Calibri" w:eastAsia="Times New Roman" w:cs="Times New Roman"/>
                <w:b/>
                <w:sz w:val="19"/>
              </w:rPr>
              <w:t>Use</w:t>
            </w:r>
          </w:p>
        </w:tc>
        <w:tc>
          <w:tcPr>
            <w:tcW w:type="dxa" w:w="3310"/>
            <w:shd w:val="clear" w:color="auto" w:fill="DDDDDD"/>
          </w:tcPr>
          <w:p>
            <w:r>
              <w:rPr>
                <w:b/>
              </w:rPr>
            </w:r>
            <w:r>
              <w:rPr>
                <w:rFonts w:ascii="Calibri" w:hAnsi="Calibri" w:eastAsia="Times New Roman" w:cs="Times New Roman"/>
                <w:b/>
                <w:sz w:val="19"/>
              </w:rPr>
              <w:t>Licence</w:t>
            </w:r>
          </w:p>
        </w:tc>
      </w:tr>
      <w:tr>
        <w:tc>
          <w:tcPr>
            <w:tcW w:type="dxa" w:w="3310"/>
          </w:tcPr>
          <w:p>
            <w:r/>
            <w:r>
              <w:rPr>
                <w:rFonts w:ascii="Calibri" w:hAnsi="Calibri" w:eastAsia="Times New Roman" w:cs="Times New Roman"/>
                <w:sz w:val="19"/>
              </w:rPr>
              <w:t>assist09 (revised)</w:t>
            </w:r>
          </w:p>
        </w:tc>
        <w:tc>
          <w:tcPr>
            <w:tcW w:type="dxa" w:w="3310"/>
          </w:tcPr>
          <w:p>
            <w:r/>
            <w:r>
              <w:rPr>
                <w:rFonts w:ascii="Calibri" w:hAnsi="Calibri" w:eastAsia="Times New Roman" w:cs="Times New Roman"/>
                <w:sz w:val="19"/>
              </w:rPr>
              <w:t>346,860 rows × 31 cols</w:t>
            </w:r>
          </w:p>
        </w:tc>
        <w:tc>
          <w:tcPr>
            <w:tcW w:type="dxa" w:w="3310"/>
          </w:tcPr>
          <w:p>
            <w:r/>
            <w:r>
              <w:rPr>
                <w:rFonts w:ascii="Calibri" w:hAnsi="Calibri" w:eastAsia="Times New Roman" w:cs="Times New Roman"/>
                <w:sz w:val="19"/>
              </w:rPr>
              <w:t>three-source correlation, O1 drift, sliding-window distribution</w:t>
            </w:r>
          </w:p>
        </w:tc>
        <w:tc>
          <w:tcPr>
            <w:tcW w:type="dxa" w:w="3310"/>
          </w:tcPr>
          <w:p>
            <w:r/>
            <w:r>
              <w:rPr>
                <w:rFonts w:ascii="Calibri" w:hAnsi="Calibri" w:eastAsia="Times New Roman" w:cs="Times New Roman"/>
                <w:sz w:val="19"/>
              </w:rPr>
              <w:t>cite Feng et al. (2009)</w:t>
            </w:r>
          </w:p>
        </w:tc>
      </w:tr>
      <w:tr>
        <w:tc>
          <w:tcPr>
            <w:tcW w:type="dxa" w:w="3310"/>
          </w:tcPr>
          <w:p>
            <w:r/>
            <w:r>
              <w:rPr>
                <w:rFonts w:ascii="Calibri" w:hAnsi="Calibri" w:eastAsia="Times New Roman" w:cs="Times New Roman"/>
                <w:sz w:val="19"/>
              </w:rPr>
              <w:t>DBE-KT22</w:t>
            </w:r>
          </w:p>
        </w:tc>
        <w:tc>
          <w:tcPr>
            <w:tcW w:type="dxa" w:w="3310"/>
          </w:tcPr>
          <w:p>
            <w:r/>
            <w:r>
              <w:rPr>
                <w:rFonts w:ascii="Calibri" w:hAnsi="Calibri" w:eastAsia="Times New Roman" w:cs="Times New Roman"/>
                <w:sz w:val="19"/>
              </w:rPr>
              <w:t>161,953 responses; 212 items; 1,264 students</w:t>
            </w:r>
          </w:p>
        </w:tc>
        <w:tc>
          <w:tcPr>
            <w:tcW w:type="dxa" w:w="3310"/>
          </w:tcPr>
          <w:p>
            <w:r/>
            <w:r>
              <w:rPr>
                <w:rFonts w:ascii="Calibri" w:hAnsi="Calibri" w:eastAsia="Times New Roman" w:cs="Times New Roman"/>
                <w:sz w:val="19"/>
              </w:rPr>
              <w:t>O2 estimator, O4/O4b fusion</w:t>
            </w:r>
          </w:p>
        </w:tc>
        <w:tc>
          <w:tcPr>
            <w:tcW w:type="dxa" w:w="3310"/>
          </w:tcPr>
          <w:p>
            <w:r/>
            <w:r>
              <w:rPr>
                <w:rFonts w:ascii="Calibri" w:hAnsi="Calibri" w:eastAsia="Times New Roman" w:cs="Times New Roman"/>
                <w:sz w:val="19"/>
              </w:rPr>
              <w:t>arXiv:2208.12651; DOI 10.26193/6DZWOH</w:t>
            </w:r>
          </w:p>
        </w:tc>
      </w:tr>
      <w:tr>
        <w:tc>
          <w:tcPr>
            <w:tcW w:type="dxa" w:w="3310"/>
          </w:tcPr>
          <w:p>
            <w:r/>
            <w:r>
              <w:rPr>
                <w:rFonts w:ascii="Calibri" w:hAnsi="Calibri" w:eastAsia="Times New Roman" w:cs="Times New Roman"/>
                <w:sz w:val="19"/>
              </w:rPr>
              <w:t>XES3G5M</w:t>
            </w:r>
          </w:p>
        </w:tc>
        <w:tc>
          <w:tcPr>
            <w:tcW w:type="dxa" w:w="3310"/>
          </w:tcPr>
          <w:p>
            <w:r/>
            <w:r>
              <w:rPr>
                <w:rFonts w:ascii="Calibri" w:hAnsi="Calibri" w:eastAsia="Times New Roman" w:cs="Times New Roman"/>
                <w:sz w:val="19"/>
              </w:rPr>
              <w:t>4,806 items (≥100 responses)</w:t>
            </w:r>
          </w:p>
        </w:tc>
        <w:tc>
          <w:tcPr>
            <w:tcW w:type="dxa" w:w="3310"/>
          </w:tcPr>
          <w:p>
            <w:r/>
            <w:r>
              <w:rPr>
                <w:rFonts w:ascii="Calibri" w:hAnsi="Calibri" w:eastAsia="Times New Roman" w:cs="Times New Roman"/>
                <w:sz w:val="19"/>
              </w:rPr>
              <w:t>O3 negative result</w:t>
            </w:r>
          </w:p>
        </w:tc>
        <w:tc>
          <w:tcPr>
            <w:tcW w:type="dxa" w:w="3310"/>
          </w:tcPr>
          <w:p>
            <w:r/>
            <w:r>
              <w:rPr>
                <w:rFonts w:ascii="Calibri" w:hAnsi="Calibri" w:eastAsia="Times New Roman" w:cs="Times New Roman"/>
                <w:sz w:val="19"/>
              </w:rPr>
              <w:t>NeurIPS 2023; MIT</w:t>
            </w:r>
          </w:p>
        </w:tc>
      </w:tr>
      <w:tr>
        <w:tc>
          <w:tcPr>
            <w:tcW w:type="dxa" w:w="3310"/>
          </w:tcPr>
          <w:p>
            <w:r/>
            <w:r>
              <w:rPr>
                <w:rFonts w:ascii="Calibri" w:hAnsi="Calibri" w:eastAsia="Times New Roman" w:cs="Times New Roman"/>
                <w:sz w:val="19"/>
              </w:rPr>
              <w:t>Junyi Academy</w:t>
            </w:r>
          </w:p>
        </w:tc>
        <w:tc>
          <w:tcPr>
            <w:tcW w:type="dxa" w:w="3310"/>
          </w:tcPr>
          <w:p>
            <w:r/>
            <w:r>
              <w:rPr>
                <w:rFonts w:ascii="Calibri" w:hAnsi="Calibri" w:eastAsia="Times New Roman" w:cs="Times New Roman"/>
                <w:sz w:val="19"/>
              </w:rPr>
              <w:t>16,217,311 rows; 72,758 users; 1,326 exercises</w:t>
            </w:r>
          </w:p>
        </w:tc>
        <w:tc>
          <w:tcPr>
            <w:tcW w:type="dxa" w:w="3310"/>
          </w:tcPr>
          <w:p>
            <w:r/>
            <w:r>
              <w:rPr>
                <w:rFonts w:ascii="Calibri" w:hAnsi="Calibri" w:eastAsia="Times New Roman" w:cs="Times New Roman"/>
                <w:sz w:val="19"/>
              </w:rPr>
              <w:t>O5, O6, O7/O8</w:t>
            </w:r>
          </w:p>
        </w:tc>
        <w:tc>
          <w:tcPr>
            <w:tcW w:type="dxa" w:w="3310"/>
          </w:tcPr>
          <w:p>
            <w:r/>
            <w:r>
              <w:rPr>
                <w:rFonts w:ascii="Calibri" w:hAnsi="Calibri" w:eastAsia="Times New Roman" w:cs="Times New Roman"/>
                <w:sz w:val="19"/>
              </w:rPr>
              <w:t>CC-BY-NC-SA-4.0 (</w:t>
            </w:r>
            <w:r>
              <w:rPr>
                <w:rFonts w:ascii="Calibri" w:hAnsi="Calibri" w:eastAsia="Times New Roman" w:cs="Times New Roman"/>
                <w:b/>
                <w:sz w:val="19"/>
              </w:rPr>
              <w:t>commercial use prohibited</w:t>
            </w:r>
            <w:r>
              <w:rPr>
                <w:rFonts w:ascii="Calibri" w:hAnsi="Calibri" w:eastAsia="Times New Roman" w:cs="Times New Roman"/>
                <w:sz w:val="19"/>
              </w:rPr>
              <w:t>)</w:t>
            </w:r>
          </w:p>
        </w:tc>
      </w:tr>
    </w:tbl>
    <w:p/>
    <w:p>
      <w:pPr>
        <w:spacing w:after="120"/>
      </w:pPr>
      <w:r>
        <w:rPr>
          <w:rFonts w:ascii="Calibri" w:hAnsi="Calibri" w:eastAsia="Times New Roman" w:cs="Times New Roman"/>
          <w:sz w:val="21"/>
        </w:rPr>
        <w:t xml:space="preserve">Three calibers of the Junyi exercise count are used in this paper and must be distinguished, because mixing them is a common source of non-reproducibility: </w:t>
      </w:r>
      <w:r>
        <w:rPr>
          <w:rFonts w:ascii="Calibri" w:hAnsi="Calibri" w:eastAsia="Times New Roman" w:cs="Times New Roman"/>
          <w:b/>
          <w:sz w:val="21"/>
        </w:rPr>
        <w:t>1,326</w:t>
      </w:r>
      <w:r>
        <w:rPr>
          <w:rFonts w:ascii="Calibri" w:hAnsi="Calibri" w:eastAsia="Times New Roman" w:cs="Times New Roman"/>
          <w:sz w:val="21"/>
        </w:rPr>
        <w:t xml:space="preserve"> library-wide exercises (all exercises in the Junyi exercise table with response data); </w:t>
      </w:r>
      <w:r>
        <w:rPr>
          <w:rFonts w:ascii="Calibri" w:hAnsi="Calibri" w:eastAsia="Times New Roman" w:cs="Times New Roman"/>
          <w:b/>
          <w:sz w:val="21"/>
        </w:rPr>
        <w:t>1,234</w:t>
      </w:r>
      <w:r>
        <w:rPr>
          <w:rFonts w:ascii="Calibri" w:hAnsi="Calibri" w:eastAsia="Times New Roman" w:cs="Times New Roman"/>
          <w:sz w:val="21"/>
        </w:rPr>
        <w:t xml:space="preserve"> in the O5 fusion-reproduction caliber (adding the requirement that an exercise carry an expert-difficulty annotation and meet O5's minimum-response threshold); and </w:t>
      </w:r>
      <w:r>
        <w:rPr>
          <w:rFonts w:ascii="Calibri" w:hAnsi="Calibri" w:eastAsia="Times New Roman" w:cs="Times New Roman"/>
          <w:b/>
          <w:sz w:val="21"/>
        </w:rPr>
        <w:t>1,238</w:t>
      </w:r>
      <w:r>
        <w:rPr>
          <w:rFonts w:ascii="Calibri" w:hAnsi="Calibri" w:eastAsia="Times New Roman" w:cs="Times New Roman"/>
          <w:sz w:val="21"/>
        </w:rPr>
        <w:t xml:space="preserve"> in the O10/O12 criterion-half caliber (requiring the B-half students to have ≥500 responses per exercise).</w:t>
      </w:r>
    </w:p>
    <w:p>
      <w:pPr>
        <w:pStyle w:val="Heading2"/>
        <w:spacing w:before="120" w:after="80"/>
      </w:pPr>
      <w:r>
        <w:rPr>
          <w:rFonts w:ascii="Calibri" w:hAnsi="Calibri" w:eastAsia="Times New Roman" w:cs="Times New Roman"/>
          <w:sz w:val="27"/>
        </w:rPr>
        <w:t>5.2 Real sources are weakly negatively correlated</w:t>
      </w:r>
    </w:p>
    <w:p>
      <w:pPr>
        <w:spacing w:after="120"/>
      </w:pPr>
      <w:r>
        <w:rPr>
          <w:rFonts w:ascii="Calibri" w:hAnsi="Calibri" w:eastAsia="Times New Roman" w:cs="Times New Roman"/>
          <w:sz w:val="21"/>
        </w:rPr>
        <w:t xml:space="preserve">On assist09's 994 items (≥50 responses), the three realistically available difficulty sources are pairwise </w:t>
      </w:r>
      <w:r>
        <w:rPr>
          <w:rFonts w:ascii="Calibri" w:hAnsi="Calibri" w:eastAsia="Times New Roman" w:cs="Times New Roman"/>
          <w:b/>
          <w:sz w:val="21"/>
        </w:rPr>
        <w:t>weakly negatively</w:t>
      </w:r>
      <w:r>
        <w:rPr>
          <w:rFonts w:ascii="Calibri" w:hAnsi="Calibri" w:eastAsia="Times New Roman" w:cs="Times New Roman"/>
          <w:sz w:val="21"/>
        </w:rPr>
        <w:t xml:space="preserve"> correlated—a configuration impossible in the synthetic experiment: IRT difficulty ~ median first-attempt time ρ = −0.250; IRT difficulty ~ mean attempt count ρ = −0.134; first-attempt time ~ mean attempt count ρ = −0.302.</w:t>
      </w:r>
    </w:p>
    <w:p>
      <w:pPr>
        <w:pStyle w:val="Heading2"/>
        <w:spacing w:before="120" w:after="80"/>
      </w:pPr>
      <w:r>
        <w:rPr>
          <w:rFonts w:ascii="Calibri" w:hAnsi="Calibri" w:eastAsia="Times New Roman" w:cs="Times New Roman"/>
          <w:sz w:val="27"/>
        </w:rPr>
        <w:t>5.3 O1: metric repair on real data</w:t>
      </w:r>
    </w:p>
    <w:p>
      <w:pPr>
        <w:spacing w:after="120"/>
      </w:pPr>
      <w:r>
        <w:rPr>
          <w:rFonts w:ascii="Calibri" w:hAnsi="Calibri" w:eastAsia="Times New Roman" w:cs="Times New Roman"/>
          <w:b/>
          <w:sz w:val="21"/>
        </w:rPr>
        <w:t>Table 4. O1: effective-weight drift under the two metrics (assist09, 994 items)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Fusion metric</w:t>
            </w:r>
          </w:p>
        </w:tc>
        <w:tc>
          <w:tcPr>
            <w:tcW w:type="dxa" w:w="4413"/>
            <w:shd w:val="clear" w:color="auto" w:fill="DDDDDD"/>
          </w:tcPr>
          <w:p>
            <w:pPr>
              <w:jc w:val="right"/>
            </w:pPr>
            <w:r>
              <w:rPr>
                <w:b/>
              </w:rPr>
            </w:r>
            <w:r>
              <w:rPr>
                <w:rFonts w:ascii="Calibri" w:hAnsi="Calibri" w:eastAsia="Times New Roman" w:cs="Times New Roman"/>
                <w:b/>
                <w:sz w:val="19"/>
              </w:rPr>
              <w:t>L1 mean</w:t>
            </w:r>
          </w:p>
        </w:tc>
        <w:tc>
          <w:tcPr>
            <w:tcW w:type="dxa" w:w="4413"/>
            <w:shd w:val="clear" w:color="auto" w:fill="DDDDDD"/>
          </w:tcPr>
          <w:p>
            <w:r>
              <w:rPr>
                <w:b/>
              </w:rPr>
            </w:r>
            <w:r>
              <w:rPr>
                <w:rFonts w:ascii="Calibri" w:hAnsi="Calibri" w:eastAsia="Times New Roman" w:cs="Times New Roman"/>
                <w:b/>
                <w:sz w:val="19"/>
              </w:rPr>
              <w:t>Rank reversal</w:t>
            </w:r>
          </w:p>
        </w:tc>
      </w:tr>
      <w:tr>
        <w:tc>
          <w:tcPr>
            <w:tcW w:type="dxa" w:w="4413"/>
          </w:tcPr>
          <w:p>
            <w:r/>
            <w:r>
              <w:rPr>
                <w:rFonts w:ascii="Calibri" w:hAnsi="Calibri" w:eastAsia="Times New Roman" w:cs="Times New Roman"/>
                <w:sz w:val="19"/>
              </w:rPr>
              <w:t>A: min-max linear (status quo)</w:t>
            </w:r>
          </w:p>
        </w:tc>
        <w:tc>
          <w:tcPr>
            <w:tcW w:type="dxa" w:w="4413"/>
          </w:tcPr>
          <w:p>
            <w:pPr>
              <w:jc w:val="right"/>
            </w:pPr>
            <w:r/>
            <w:r>
              <w:rPr>
                <w:rFonts w:ascii="Calibri" w:hAnsi="Calibri" w:eastAsia="Times New Roman" w:cs="Times New Roman"/>
                <w:b/>
                <w:sz w:val="19"/>
              </w:rPr>
              <w:t>0.5357</w:t>
            </w:r>
          </w:p>
        </w:tc>
        <w:tc>
          <w:tcPr>
            <w:tcW w:type="dxa" w:w="4413"/>
          </w:tcPr>
          <w:p>
            <w:r/>
            <w:r>
              <w:rPr>
                <w:rFonts w:ascii="Calibri" w:hAnsi="Calibri" w:eastAsia="Times New Roman" w:cs="Times New Roman"/>
                <w:sz w:val="19"/>
              </w:rPr>
              <w:t>significant</w:t>
            </w:r>
          </w:p>
        </w:tc>
      </w:tr>
      <w:tr>
        <w:tc>
          <w:tcPr>
            <w:tcW w:type="dxa" w:w="4413"/>
          </w:tcPr>
          <w:p>
            <w:r/>
            <w:r>
              <w:rPr>
                <w:rFonts w:ascii="Calibri" w:hAnsi="Calibri" w:eastAsia="Times New Roman" w:cs="Times New Roman"/>
                <w:sz w:val="19"/>
              </w:rPr>
              <w:t>B: empirical CDF → logit</w:t>
            </w:r>
          </w:p>
        </w:tc>
        <w:tc>
          <w:tcPr>
            <w:tcW w:type="dxa" w:w="4413"/>
          </w:tcPr>
          <w:p>
            <w:pPr>
              <w:jc w:val="right"/>
            </w:pPr>
            <w:r/>
            <w:r>
              <w:rPr>
                <w:rFonts w:ascii="Calibri" w:hAnsi="Calibri" w:eastAsia="Times New Roman" w:cs="Times New Roman"/>
                <w:b/>
                <w:sz w:val="19"/>
              </w:rPr>
              <w:t>0.0001</w:t>
            </w:r>
          </w:p>
        </w:tc>
        <w:tc>
          <w:tcPr>
            <w:tcW w:type="dxa" w:w="4413"/>
          </w:tcPr>
          <w:p>
            <w:r/>
            <w:r>
              <w:rPr>
                <w:rFonts w:ascii="Calibri" w:hAnsi="Calibri" w:eastAsia="Times New Roman" w:cs="Times New Roman"/>
                <w:b/>
                <w:sz w:val="19"/>
              </w:rPr>
              <w:t>0</w:t>
            </w:r>
          </w:p>
        </w:tc>
      </w:tr>
    </w:tbl>
    <w:p/>
    <w:p>
      <w:pPr>
        <w:pStyle w:val="Heading2"/>
        <w:spacing w:before="120" w:after="80"/>
      </w:pPr>
      <w:r>
        <w:rPr>
          <w:rFonts w:ascii="Calibri" w:hAnsi="Calibri" w:eastAsia="Times New Roman" w:cs="Times New Roman"/>
          <w:sz w:val="27"/>
        </w:rPr>
        <w:t>5.4 O2 and O3: two negative results</w:t>
      </w:r>
    </w:p>
    <w:p>
      <w:pPr>
        <w:spacing w:after="120"/>
      </w:pPr>
      <w:r>
        <w:rPr>
          <w:rFonts w:ascii="Calibri" w:hAnsi="Calibri" w:eastAsia="Times New Roman" w:cs="Times New Roman"/>
          <w:sz w:val="21"/>
        </w:rPr>
        <w:t xml:space="preserve">On DBE-KT22, replacing the raw correct-rate difficulty estimator with a joint IRT-1PL estimator (EM-style gradient, 300 rounds) moves agreement with expert grades only from ρ = 0.2207 to 0.2300: </w:t>
      </w:r>
      <w:r>
        <w:rPr>
          <w:rFonts w:ascii="Calibri" w:hAnsi="Calibri" w:eastAsia="Times New Roman" w:cs="Times New Roman"/>
          <w:b/>
          <w:sz w:val="21"/>
        </w:rPr>
        <w:t>changing the estimator is worth +0.009</w:t>
      </w:r>
      <w:r>
        <w:rPr>
          <w:rFonts w:ascii="Calibri" w:hAnsi="Calibri" w:eastAsia="Times New Roman" w:cs="Times New Roman"/>
          <w:sz w:val="21"/>
        </w:rPr>
        <w:t>. On XES3G5M we test the widely defaulted engineering assumption that the knowledge-component tree's hierarchical structure can serve as a difficulty proxy; it cannot, and we report this as a negative result (O3).</w:t>
      </w:r>
    </w:p>
    <w:p>
      <w:pPr>
        <w:pStyle w:val="Heading1"/>
        <w:spacing w:before="200" w:after="80"/>
      </w:pPr>
      <w:r>
        <w:rPr>
          <w:rFonts w:ascii="Calibri" w:hAnsi="Calibri" w:eastAsia="Times New Roman" w:cs="Times New Roman"/>
          <w:sz w:val="32"/>
        </w:rPr>
        <w:t>6 Real-Data Test II: Multi-Signal Fusion under the Expert-Label Criterion</w:t>
      </w:r>
    </w:p>
    <w:p>
      <w:pPr>
        <w:spacing w:after="120"/>
      </w:pPr>
      <w:r>
        <w:rPr>
          <w:rFonts w:ascii="Calibri" w:hAnsi="Calibri" w:eastAsia="Times New Roman" w:cs="Times New Roman"/>
          <w:sz w:val="21"/>
        </w:rPr>
        <w:t>Since changing the estimator helps little, O4 tests a different hypothesis: the bottleneck may be the single behavioural signal itself being information-poor.</w:t>
      </w:r>
    </w:p>
    <w:p>
      <w:pPr>
        <w:spacing w:after="120"/>
      </w:pPr>
      <w:r>
        <w:rPr>
          <w:rFonts w:ascii="Calibri" w:hAnsi="Calibri" w:eastAsia="Times New Roman" w:cs="Times New Roman"/>
          <w:b/>
          <w:sz w:val="21"/>
        </w:rPr>
        <w:t>Table 5. O4/O5: multi-signal fusion gain under the expert-label criterion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Times New Roman" w:cs="Times New Roman"/>
                <w:b/>
                <w:sz w:val="19"/>
              </w:rPr>
              <w:t>Configuration</w:t>
            </w:r>
          </w:p>
        </w:tc>
        <w:tc>
          <w:tcPr>
            <w:tcW w:type="dxa" w:w="4413"/>
            <w:shd w:val="clear" w:color="auto" w:fill="DDDDDD"/>
          </w:tcPr>
          <w:p>
            <w:r>
              <w:rPr>
                <w:b/>
              </w:rPr>
            </w:r>
            <w:r>
              <w:rPr>
                <w:rFonts w:ascii="Calibri" w:hAnsi="Calibri" w:eastAsia="Times New Roman" w:cs="Times New Roman"/>
                <w:b/>
                <w:sz w:val="19"/>
              </w:rPr>
              <w:t>DBE-KT22 (212 items)</w:t>
            </w:r>
          </w:p>
        </w:tc>
        <w:tc>
          <w:tcPr>
            <w:tcW w:type="dxa" w:w="4413"/>
            <w:shd w:val="clear" w:color="auto" w:fill="DDDDDD"/>
          </w:tcPr>
          <w:p>
            <w:r>
              <w:rPr>
                <w:b/>
              </w:rPr>
            </w:r>
            <w:r>
              <w:rPr>
                <w:rFonts w:ascii="Calibri" w:hAnsi="Calibri" w:eastAsia="Times New Roman" w:cs="Times New Roman"/>
                <w:b/>
                <w:sz w:val="19"/>
              </w:rPr>
              <w:t>Junyi (1,234 exercises, no feedback)</w:t>
            </w:r>
          </w:p>
        </w:tc>
      </w:tr>
      <w:tr>
        <w:tc>
          <w:tcPr>
            <w:tcW w:type="dxa" w:w="4413"/>
          </w:tcPr>
          <w:p>
            <w:r/>
            <w:r>
              <w:rPr>
                <w:rFonts w:ascii="Calibri" w:hAnsi="Calibri" w:eastAsia="Times New Roman" w:cs="Times New Roman"/>
                <w:sz w:val="19"/>
              </w:rPr>
              <w:t>Raw correct rate / success rate only</w:t>
            </w:r>
          </w:p>
        </w:tc>
        <w:tc>
          <w:tcPr>
            <w:tcW w:type="dxa" w:w="4413"/>
          </w:tcPr>
          <w:p>
            <w:r/>
            <w:r>
              <w:rPr>
                <w:rFonts w:ascii="Calibri" w:hAnsi="Calibri" w:eastAsia="Times New Roman" w:cs="Times New Roman"/>
                <w:sz w:val="19"/>
              </w:rPr>
              <w:t>0.2207</w:t>
            </w:r>
          </w:p>
        </w:tc>
        <w:tc>
          <w:tcPr>
            <w:tcW w:type="dxa" w:w="4413"/>
          </w:tcPr>
          <w:p>
            <w:r/>
            <w:r>
              <w:rPr>
                <w:rFonts w:ascii="Calibri" w:hAnsi="Calibri" w:eastAsia="Times New Roman" w:cs="Times New Roman"/>
                <w:sz w:val="19"/>
              </w:rPr>
              <w:t>0.2610</w:t>
            </w:r>
          </w:p>
        </w:tc>
      </w:tr>
      <w:tr>
        <w:tc>
          <w:tcPr>
            <w:tcW w:type="dxa" w:w="4413"/>
          </w:tcPr>
          <w:p>
            <w:r/>
            <w:r>
              <w:rPr>
                <w:rFonts w:ascii="Calibri" w:hAnsi="Calibri" w:eastAsia="Times New Roman" w:cs="Times New Roman"/>
                <w:sz w:val="19"/>
              </w:rPr>
              <w:t>Joint IRT-1PL</w:t>
            </w:r>
          </w:p>
        </w:tc>
        <w:tc>
          <w:tcPr>
            <w:tcW w:type="dxa" w:w="4413"/>
          </w:tcPr>
          <w:p>
            <w:r/>
            <w:r>
              <w:rPr>
                <w:rFonts w:ascii="Calibri" w:hAnsi="Calibri" w:eastAsia="Times New Roman" w:cs="Times New Roman"/>
                <w:sz w:val="19"/>
              </w:rPr>
              <w:t>0.2300</w:t>
            </w:r>
          </w:p>
        </w:tc>
        <w:tc>
          <w:tcPr>
            <w:tcW w:type="dxa" w:w="4413"/>
          </w:tcPr>
          <w:p>
            <w:r/>
            <w:r>
              <w:rPr>
                <w:rFonts w:ascii="Calibri" w:hAnsi="Calibri" w:eastAsia="Times New Roman" w:cs="Times New Roman"/>
                <w:sz w:val="19"/>
              </w:rPr>
              <w:t>—</w:t>
            </w:r>
          </w:p>
        </w:tc>
      </w:tr>
      <w:tr>
        <w:tc>
          <w:tcPr>
            <w:tcW w:type="dxa" w:w="4413"/>
          </w:tcPr>
          <w:p>
            <w:r/>
            <w:r>
              <w:rPr>
                <w:rFonts w:ascii="Calibri" w:hAnsi="Calibri" w:eastAsia="Times New Roman" w:cs="Times New Roman"/>
                <w:sz w:val="19"/>
              </w:rPr>
              <w:t>Equal-weight fusion (5 signals / 7 signals)</w:t>
            </w:r>
          </w:p>
        </w:tc>
        <w:tc>
          <w:tcPr>
            <w:tcW w:type="dxa" w:w="4413"/>
          </w:tcPr>
          <w:p>
            <w:r/>
            <w:r>
              <w:rPr>
                <w:rFonts w:ascii="Calibri" w:hAnsi="Calibri" w:eastAsia="Times New Roman" w:cs="Times New Roman"/>
                <w:b/>
                <w:sz w:val="19"/>
              </w:rPr>
              <w:t>0.2918</w:t>
            </w:r>
          </w:p>
        </w:tc>
        <w:tc>
          <w:tcPr>
            <w:tcW w:type="dxa" w:w="4413"/>
          </w:tcPr>
          <w:p>
            <w:r/>
            <w:r>
              <w:rPr>
                <w:rFonts w:ascii="Calibri" w:hAnsi="Calibri" w:eastAsia="Times New Roman" w:cs="Times New Roman"/>
                <w:b/>
                <w:sz w:val="19"/>
              </w:rPr>
              <w:t>0.3629</w:t>
            </w:r>
            <w:r>
              <w:rPr>
                <w:rFonts w:ascii="Calibri" w:hAnsi="Calibri" w:eastAsia="Times New Roman" w:cs="Times New Roman"/>
                <w:sz w:val="19"/>
              </w:rPr>
              <w:t xml:space="preserve"> (+39%)</w:t>
            </w:r>
          </w:p>
        </w:tc>
      </w:tr>
      <w:tr>
        <w:tc>
          <w:tcPr>
            <w:tcW w:type="dxa" w:w="4413"/>
          </w:tcPr>
          <w:p>
            <w:r/>
            <w:r>
              <w:rPr>
                <w:rFonts w:ascii="Calibri" w:hAnsi="Calibri" w:eastAsia="Times New Roman" w:cs="Times New Roman"/>
                <w:sz w:val="19"/>
              </w:rPr>
              <w:t>Optimised weights, repeated 5-fold ×10</w:t>
            </w:r>
          </w:p>
        </w:tc>
        <w:tc>
          <w:tcPr>
            <w:tcW w:type="dxa" w:w="4413"/>
          </w:tcPr>
          <w:p>
            <w:r/>
            <w:r>
              <w:rPr>
                <w:rFonts w:ascii="Calibri" w:hAnsi="Calibri" w:eastAsia="Times New Roman" w:cs="Times New Roman"/>
                <w:b/>
                <w:sz w:val="19"/>
              </w:rPr>
              <w:t>0.5240 ± 0.1069</w:t>
            </w:r>
            <w:r>
              <w:rPr>
                <w:rFonts w:ascii="Calibri" w:hAnsi="Calibri" w:eastAsia="Times New Roman" w:cs="Times New Roman"/>
                <w:sz w:val="19"/>
              </w:rPr>
              <w:t xml:space="preserve"> [0.2895, 0.7390]</w:t>
            </w:r>
          </w:p>
        </w:tc>
        <w:tc>
          <w:tcPr>
            <w:tcW w:type="dxa" w:w="4413"/>
          </w:tcPr>
          <w:p>
            <w:r/>
            <w:r>
              <w:rPr>
                <w:rFonts w:ascii="Calibri" w:hAnsi="Calibri" w:eastAsia="Times New Roman" w:cs="Times New Roman"/>
                <w:b/>
                <w:sz w:val="19"/>
              </w:rPr>
              <w:t>0.4023 ± 0.0480</w:t>
            </w:r>
            <w:r>
              <w:rPr>
                <w:rFonts w:ascii="Calibri" w:hAnsi="Calibri" w:eastAsia="Times New Roman" w:cs="Times New Roman"/>
                <w:sz w:val="19"/>
              </w:rPr>
              <w:t xml:space="preserve"> [0.3227, 0.4909]</w:t>
            </w:r>
          </w:p>
        </w:tc>
      </w:tr>
    </w:tbl>
    <w:p/>
    <w:p>
      <w:pPr>
        <w:spacing w:after="120"/>
      </w:pPr>
      <w:r>
        <w:rPr>
          <w:rFonts w:ascii="Calibri" w:hAnsi="Calibri" w:eastAsia="Times New Roman" w:cs="Times New Roman"/>
          <w:sz w:val="21"/>
        </w:rPr>
        <w:t xml:space="preserve">O4b adds three explicit features (difference term, dispersion, response count) and re-estimates by coordinate ascent: 0.4608 against O4's 0.4778, i.e. extended features add no gain and the differential feature is the driver. O6a subsamples k ∈ {10,…,500} responses per item (30 repeats) and shows the fusion gain </w:t>
      </w:r>
      <w:r>
        <w:rPr>
          <w:rFonts w:ascii="Calibri" w:hAnsi="Calibri" w:eastAsia="Times New Roman" w:cs="Times New Roman"/>
          <w:b/>
          <w:sz w:val="21"/>
        </w:rPr>
        <w:t>grows</w:t>
      </w:r>
      <w:r>
        <w:rPr>
          <w:rFonts w:ascii="Calibri" w:hAnsi="Calibri" w:eastAsia="Times New Roman" w:cs="Times New Roman"/>
          <w:sz w:val="21"/>
        </w:rPr>
        <w:t xml:space="preserve"> with sample size rather than vanishing (Junyi paired win rate 1.00 at every k), so the gain is complementary information, not denoising. O6b (bootstrap 2000) confirms statistical robustness: Junyi Δ = +0.1017 [0.0726, 0.1325], one-sided p = 0.000; DBE Δ = +0.0723 [−0.0195, 0.1649], p = 0.059; three-grade quadratic-weighted Kappa improves from 0.1815 to 0.2595 (Junyi) and 0.1778 to 0.2370 (DBE).</w:t>
      </w:r>
    </w:p>
    <w:p>
      <w:pPr>
        <w:spacing w:after="120"/>
      </w:pPr>
      <w:r>
        <w:rPr>
          <w:rFonts w:ascii="Calibri" w:hAnsi="Calibri" w:eastAsia="Times New Roman" w:cs="Times New Roman"/>
          <w:b/>
          <w:sz w:val="21"/>
        </w:rPr>
        <w:t>Table 6. O6a: sample efficiency — the fusion gain grows with k, so it is complementary information rather than denoising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07"/>
        <w:gridCol w:w="2207"/>
        <w:gridCol w:w="2207"/>
        <w:gridCol w:w="2207"/>
        <w:gridCol w:w="2207"/>
        <w:gridCol w:w="2207"/>
      </w:tblGrid>
      <w:tr>
        <w:tc>
          <w:tcPr>
            <w:tcW w:type="dxa" w:w="2207"/>
            <w:shd w:val="clear" w:color="auto" w:fill="DDDDDD"/>
          </w:tcPr>
          <w:p>
            <w:pPr>
              <w:jc w:val="right"/>
            </w:pPr>
            <w:r>
              <w:rPr>
                <w:b/>
              </w:rPr>
            </w:r>
            <w:r>
              <w:rPr>
                <w:rFonts w:ascii="Calibri" w:hAnsi="Calibri" w:eastAsia="Times New Roman" w:cs="Times New Roman"/>
                <w:b/>
                <w:sz w:val="19"/>
              </w:rPr>
              <w:t>k</w:t>
            </w:r>
          </w:p>
        </w:tc>
        <w:tc>
          <w:tcPr>
            <w:tcW w:type="dxa" w:w="2207"/>
            <w:shd w:val="clear" w:color="auto" w:fill="DDDDDD"/>
          </w:tcPr>
          <w:p>
            <w:pPr>
              <w:jc w:val="right"/>
            </w:pPr>
            <w:r>
              <w:rPr>
                <w:b/>
              </w:rPr>
            </w:r>
            <w:r>
              <w:rPr>
                <w:rFonts w:ascii="Calibri" w:hAnsi="Calibri" w:eastAsia="Times New Roman" w:cs="Times New Roman"/>
                <w:b/>
                <w:sz w:val="19"/>
              </w:rPr>
              <w:t>Junyi success-only</w:t>
            </w:r>
          </w:p>
        </w:tc>
        <w:tc>
          <w:tcPr>
            <w:tcW w:type="dxa" w:w="2207"/>
            <w:shd w:val="clear" w:color="auto" w:fill="DDDDDD"/>
          </w:tcPr>
          <w:p>
            <w:pPr>
              <w:jc w:val="right"/>
            </w:pPr>
            <w:r>
              <w:rPr>
                <w:b/>
              </w:rPr>
            </w:r>
            <w:r>
              <w:rPr>
                <w:rFonts w:ascii="Calibri" w:hAnsi="Calibri" w:eastAsia="Times New Roman" w:cs="Times New Roman"/>
                <w:b/>
                <w:sz w:val="19"/>
              </w:rPr>
              <w:t>Junyi fusion</w:t>
            </w:r>
          </w:p>
        </w:tc>
        <w:tc>
          <w:tcPr>
            <w:tcW w:type="dxa" w:w="2207"/>
            <w:shd w:val="clear" w:color="auto" w:fill="DDDDDD"/>
          </w:tcPr>
          <w:p>
            <w:pPr>
              <w:jc w:val="right"/>
            </w:pPr>
            <w:r>
              <w:rPr>
                <w:b/>
              </w:rPr>
            </w:r>
            <w:r>
              <w:rPr>
                <w:rFonts w:ascii="Calibri" w:hAnsi="Calibri" w:eastAsia="Times New Roman" w:cs="Times New Roman"/>
                <w:b/>
                <w:sz w:val="19"/>
              </w:rPr>
              <w:t>paired win rate</w:t>
            </w:r>
          </w:p>
        </w:tc>
        <w:tc>
          <w:tcPr>
            <w:tcW w:type="dxa" w:w="2207"/>
            <w:shd w:val="clear" w:color="auto" w:fill="DDDDDD"/>
          </w:tcPr>
          <w:p>
            <w:pPr>
              <w:jc w:val="right"/>
            </w:pPr>
            <w:r>
              <w:rPr>
                <w:b/>
              </w:rPr>
            </w:r>
            <w:r>
              <w:rPr>
                <w:rFonts w:ascii="Calibri" w:hAnsi="Calibri" w:eastAsia="Times New Roman" w:cs="Times New Roman"/>
                <w:b/>
                <w:sz w:val="19"/>
              </w:rPr>
              <w:t>DBE success-only</w:t>
            </w:r>
          </w:p>
        </w:tc>
        <w:tc>
          <w:tcPr>
            <w:tcW w:type="dxa" w:w="2207"/>
            <w:shd w:val="clear" w:color="auto" w:fill="DDDDDD"/>
          </w:tcPr>
          <w:p>
            <w:pPr>
              <w:jc w:val="right"/>
            </w:pPr>
            <w:r>
              <w:rPr>
                <w:b/>
              </w:rPr>
            </w:r>
            <w:r>
              <w:rPr>
                <w:rFonts w:ascii="Calibri" w:hAnsi="Calibri" w:eastAsia="Times New Roman" w:cs="Times New Roman"/>
                <w:b/>
                <w:sz w:val="19"/>
              </w:rPr>
              <w:t>DBE fusion</w:t>
            </w:r>
          </w:p>
        </w:tc>
      </w:tr>
      <w:tr>
        <w:tc>
          <w:tcPr>
            <w:tcW w:type="dxa" w:w="2207"/>
          </w:tcPr>
          <w:p>
            <w:pPr>
              <w:jc w:val="right"/>
            </w:pPr>
            <w:r/>
            <w:r>
              <w:rPr>
                <w:rFonts w:ascii="Calibri" w:hAnsi="Calibri" w:eastAsia="Times New Roman" w:cs="Times New Roman"/>
                <w:sz w:val="19"/>
              </w:rPr>
              <w:t>10</w:t>
            </w:r>
          </w:p>
        </w:tc>
        <w:tc>
          <w:tcPr>
            <w:tcW w:type="dxa" w:w="2207"/>
          </w:tcPr>
          <w:p>
            <w:pPr>
              <w:jc w:val="right"/>
            </w:pPr>
            <w:r/>
            <w:r>
              <w:rPr>
                <w:rFonts w:ascii="Calibri" w:hAnsi="Calibri" w:eastAsia="Times New Roman" w:cs="Times New Roman"/>
                <w:sz w:val="19"/>
              </w:rPr>
              <w:t>0.1750</w:t>
            </w:r>
          </w:p>
        </w:tc>
        <w:tc>
          <w:tcPr>
            <w:tcW w:type="dxa" w:w="2207"/>
          </w:tcPr>
          <w:p>
            <w:pPr>
              <w:jc w:val="right"/>
            </w:pPr>
            <w:r/>
            <w:r>
              <w:rPr>
                <w:rFonts w:ascii="Calibri" w:hAnsi="Calibri" w:eastAsia="Times New Roman" w:cs="Times New Roman"/>
                <w:sz w:val="19"/>
              </w:rPr>
              <w:t>0.2260</w:t>
            </w:r>
          </w:p>
        </w:tc>
        <w:tc>
          <w:tcPr>
            <w:tcW w:type="dxa" w:w="2207"/>
          </w:tcPr>
          <w:p>
            <w:pPr>
              <w:jc w:val="right"/>
            </w:pPr>
            <w:r/>
            <w:r>
              <w:rPr>
                <w:rFonts w:ascii="Calibri" w:hAnsi="Calibri" w:eastAsia="Times New Roman" w:cs="Times New Roman"/>
                <w:sz w:val="19"/>
              </w:rPr>
              <w:t>1.00</w:t>
            </w:r>
          </w:p>
        </w:tc>
        <w:tc>
          <w:tcPr>
            <w:tcW w:type="dxa" w:w="2207"/>
          </w:tcPr>
          <w:p>
            <w:pPr>
              <w:jc w:val="right"/>
            </w:pPr>
            <w:r/>
            <w:r>
              <w:rPr>
                <w:rFonts w:ascii="Calibri" w:hAnsi="Calibri" w:eastAsia="Times New Roman" w:cs="Times New Roman"/>
                <w:sz w:val="19"/>
              </w:rPr>
              <w:t>0.2024</w:t>
            </w:r>
          </w:p>
        </w:tc>
        <w:tc>
          <w:tcPr>
            <w:tcW w:type="dxa" w:w="2207"/>
          </w:tcPr>
          <w:p>
            <w:pPr>
              <w:jc w:val="right"/>
            </w:pPr>
            <w:r/>
            <w:r>
              <w:rPr>
                <w:rFonts w:ascii="Calibri" w:hAnsi="Calibri" w:eastAsia="Times New Roman" w:cs="Times New Roman"/>
                <w:sz w:val="19"/>
              </w:rPr>
              <w:t>0.2316</w:t>
            </w:r>
          </w:p>
        </w:tc>
      </w:tr>
      <w:tr>
        <w:tc>
          <w:tcPr>
            <w:tcW w:type="dxa" w:w="2207"/>
          </w:tcPr>
          <w:p>
            <w:pPr>
              <w:jc w:val="right"/>
            </w:pPr>
            <w:r/>
            <w:r>
              <w:rPr>
                <w:rFonts w:ascii="Calibri" w:hAnsi="Calibri" w:eastAsia="Times New Roman" w:cs="Times New Roman"/>
                <w:sz w:val="19"/>
              </w:rPr>
              <w:t>50</w:t>
            </w:r>
          </w:p>
        </w:tc>
        <w:tc>
          <w:tcPr>
            <w:tcW w:type="dxa" w:w="2207"/>
          </w:tcPr>
          <w:p>
            <w:pPr>
              <w:jc w:val="right"/>
            </w:pPr>
            <w:r/>
            <w:r>
              <w:rPr>
                <w:rFonts w:ascii="Calibri" w:hAnsi="Calibri" w:eastAsia="Times New Roman" w:cs="Times New Roman"/>
                <w:sz w:val="19"/>
              </w:rPr>
              <w:t>0.2314</w:t>
            </w:r>
          </w:p>
        </w:tc>
        <w:tc>
          <w:tcPr>
            <w:tcW w:type="dxa" w:w="2207"/>
          </w:tcPr>
          <w:p>
            <w:pPr>
              <w:jc w:val="right"/>
            </w:pPr>
            <w:r/>
            <w:r>
              <w:rPr>
                <w:rFonts w:ascii="Calibri" w:hAnsi="Calibri" w:eastAsia="Times New Roman" w:cs="Times New Roman"/>
                <w:sz w:val="19"/>
              </w:rPr>
              <w:t>0.2929</w:t>
            </w:r>
          </w:p>
        </w:tc>
        <w:tc>
          <w:tcPr>
            <w:tcW w:type="dxa" w:w="2207"/>
          </w:tcPr>
          <w:p>
            <w:pPr>
              <w:jc w:val="right"/>
            </w:pPr>
            <w:r/>
            <w:r>
              <w:rPr>
                <w:rFonts w:ascii="Calibri" w:hAnsi="Calibri" w:eastAsia="Times New Roman" w:cs="Times New Roman"/>
                <w:sz w:val="19"/>
              </w:rPr>
              <w:t>1.00</w:t>
            </w:r>
          </w:p>
        </w:tc>
        <w:tc>
          <w:tcPr>
            <w:tcW w:type="dxa" w:w="2207"/>
          </w:tcPr>
          <w:p>
            <w:pPr>
              <w:jc w:val="right"/>
            </w:pPr>
            <w:r/>
            <w:r>
              <w:rPr>
                <w:rFonts w:ascii="Calibri" w:hAnsi="Calibri" w:eastAsia="Times New Roman" w:cs="Times New Roman"/>
                <w:sz w:val="19"/>
              </w:rPr>
              <w:t>0.2224</w:t>
            </w:r>
          </w:p>
        </w:tc>
        <w:tc>
          <w:tcPr>
            <w:tcW w:type="dxa" w:w="2207"/>
          </w:tcPr>
          <w:p>
            <w:pPr>
              <w:jc w:val="right"/>
            </w:pPr>
            <w:r/>
            <w:r>
              <w:rPr>
                <w:rFonts w:ascii="Calibri" w:hAnsi="Calibri" w:eastAsia="Times New Roman" w:cs="Times New Roman"/>
                <w:sz w:val="19"/>
              </w:rPr>
              <w:t>0.2493</w:t>
            </w:r>
          </w:p>
        </w:tc>
      </w:tr>
      <w:tr>
        <w:tc>
          <w:tcPr>
            <w:tcW w:type="dxa" w:w="2207"/>
          </w:tcPr>
          <w:p>
            <w:pPr>
              <w:jc w:val="right"/>
            </w:pPr>
            <w:r/>
            <w:r>
              <w:rPr>
                <w:rFonts w:ascii="Calibri" w:hAnsi="Calibri" w:eastAsia="Times New Roman" w:cs="Times New Roman"/>
                <w:sz w:val="19"/>
              </w:rPr>
              <w:t>100</w:t>
            </w:r>
          </w:p>
        </w:tc>
        <w:tc>
          <w:tcPr>
            <w:tcW w:type="dxa" w:w="2207"/>
          </w:tcPr>
          <w:p>
            <w:pPr>
              <w:jc w:val="right"/>
            </w:pPr>
            <w:r/>
            <w:r>
              <w:rPr>
                <w:rFonts w:ascii="Calibri" w:hAnsi="Calibri" w:eastAsia="Times New Roman" w:cs="Times New Roman"/>
                <w:sz w:val="19"/>
              </w:rPr>
              <w:t>0.2416</w:t>
            </w:r>
          </w:p>
        </w:tc>
        <w:tc>
          <w:tcPr>
            <w:tcW w:type="dxa" w:w="2207"/>
          </w:tcPr>
          <w:p>
            <w:pPr>
              <w:jc w:val="right"/>
            </w:pPr>
            <w:r/>
            <w:r>
              <w:rPr>
                <w:rFonts w:ascii="Calibri" w:hAnsi="Calibri" w:eastAsia="Times New Roman" w:cs="Times New Roman"/>
                <w:sz w:val="19"/>
              </w:rPr>
              <w:t>0.3099</w:t>
            </w:r>
          </w:p>
        </w:tc>
        <w:tc>
          <w:tcPr>
            <w:tcW w:type="dxa" w:w="2207"/>
          </w:tcPr>
          <w:p>
            <w:pPr>
              <w:jc w:val="right"/>
            </w:pPr>
            <w:r/>
            <w:r>
              <w:rPr>
                <w:rFonts w:ascii="Calibri" w:hAnsi="Calibri" w:eastAsia="Times New Roman" w:cs="Times New Roman"/>
                <w:sz w:val="19"/>
              </w:rPr>
              <w:t>1.00</w:t>
            </w:r>
          </w:p>
        </w:tc>
        <w:tc>
          <w:tcPr>
            <w:tcW w:type="dxa" w:w="2207"/>
          </w:tcPr>
          <w:p>
            <w:pPr>
              <w:jc w:val="right"/>
            </w:pPr>
            <w:r/>
            <w:r>
              <w:rPr>
                <w:rFonts w:ascii="Calibri" w:hAnsi="Calibri" w:eastAsia="Times New Roman" w:cs="Times New Roman"/>
                <w:sz w:val="19"/>
              </w:rPr>
              <w:t>0.2208</w:t>
            </w:r>
          </w:p>
        </w:tc>
        <w:tc>
          <w:tcPr>
            <w:tcW w:type="dxa" w:w="2207"/>
          </w:tcPr>
          <w:p>
            <w:pPr>
              <w:jc w:val="right"/>
            </w:pPr>
            <w:r/>
            <w:r>
              <w:rPr>
                <w:rFonts w:ascii="Calibri" w:hAnsi="Calibri" w:eastAsia="Times New Roman" w:cs="Times New Roman"/>
                <w:sz w:val="19"/>
              </w:rPr>
              <w:t>0.2654</w:t>
            </w:r>
          </w:p>
        </w:tc>
      </w:tr>
      <w:tr>
        <w:tc>
          <w:tcPr>
            <w:tcW w:type="dxa" w:w="2207"/>
          </w:tcPr>
          <w:p>
            <w:pPr>
              <w:jc w:val="right"/>
            </w:pPr>
            <w:r/>
            <w:r>
              <w:rPr>
                <w:rFonts w:ascii="Calibri" w:hAnsi="Calibri" w:eastAsia="Times New Roman" w:cs="Times New Roman"/>
                <w:sz w:val="19"/>
              </w:rPr>
              <w:t>500</w:t>
            </w:r>
          </w:p>
        </w:tc>
        <w:tc>
          <w:tcPr>
            <w:tcW w:type="dxa" w:w="2207"/>
          </w:tcPr>
          <w:p>
            <w:pPr>
              <w:jc w:val="right"/>
            </w:pPr>
            <w:r/>
            <w:r>
              <w:rPr>
                <w:rFonts w:ascii="Calibri" w:hAnsi="Calibri" w:eastAsia="Times New Roman" w:cs="Times New Roman"/>
                <w:sz w:val="19"/>
              </w:rPr>
              <w:t>0.2536</w:t>
            </w:r>
          </w:p>
        </w:tc>
        <w:tc>
          <w:tcPr>
            <w:tcW w:type="dxa" w:w="2207"/>
          </w:tcPr>
          <w:p>
            <w:pPr>
              <w:jc w:val="right"/>
            </w:pPr>
            <w:r/>
            <w:r>
              <w:rPr>
                <w:rFonts w:ascii="Calibri" w:hAnsi="Calibri" w:eastAsia="Times New Roman" w:cs="Times New Roman"/>
                <w:sz w:val="19"/>
              </w:rPr>
              <w:t>0.3380</w:t>
            </w:r>
          </w:p>
        </w:tc>
        <w:tc>
          <w:tcPr>
            <w:tcW w:type="dxa" w:w="2207"/>
          </w:tcPr>
          <w:p>
            <w:pPr>
              <w:jc w:val="right"/>
            </w:pPr>
            <w:r/>
            <w:r>
              <w:rPr>
                <w:rFonts w:ascii="Calibri" w:hAnsi="Calibri" w:eastAsia="Times New Roman" w:cs="Times New Roman"/>
                <w:sz w:val="19"/>
              </w:rPr>
              <w:t>1.00</w:t>
            </w:r>
          </w:p>
        </w:tc>
        <w:tc>
          <w:tcPr>
            <w:tcW w:type="dxa" w:w="2207"/>
          </w:tcPr>
          <w:p>
            <w:pPr>
              <w:jc w:val="right"/>
            </w:pPr>
            <w:r/>
            <w:r>
              <w:rPr>
                <w:rFonts w:ascii="Calibri" w:hAnsi="Calibri" w:eastAsia="Times New Roman" w:cs="Times New Roman"/>
                <w:sz w:val="19"/>
              </w:rPr>
              <w:t>0.2209</w:t>
            </w:r>
          </w:p>
        </w:tc>
        <w:tc>
          <w:tcPr>
            <w:tcW w:type="dxa" w:w="2207"/>
          </w:tcPr>
          <w:p>
            <w:pPr>
              <w:jc w:val="right"/>
            </w:pPr>
            <w:r/>
            <w:r>
              <w:rPr>
                <w:rFonts w:ascii="Calibri" w:hAnsi="Calibri" w:eastAsia="Times New Roman" w:cs="Times New Roman"/>
                <w:sz w:val="19"/>
              </w:rPr>
              <w:t>0.2779</w:t>
            </w:r>
          </w:p>
        </w:tc>
      </w:tr>
      <w:tr>
        <w:tc>
          <w:tcPr>
            <w:tcW w:type="dxa" w:w="2207"/>
          </w:tcPr>
          <w:p>
            <w:pPr>
              <w:jc w:val="right"/>
            </w:pPr>
            <w:r/>
            <w:r>
              <w:rPr>
                <w:rFonts w:ascii="Calibri" w:hAnsi="Calibri" w:eastAsia="Times New Roman" w:cs="Times New Roman"/>
                <w:sz w:val="19"/>
              </w:rPr>
              <w:t>Full</w:t>
            </w:r>
          </w:p>
        </w:tc>
        <w:tc>
          <w:tcPr>
            <w:tcW w:type="dxa" w:w="2207"/>
          </w:tcPr>
          <w:p>
            <w:pPr>
              <w:jc w:val="right"/>
            </w:pPr>
            <w:r/>
            <w:r>
              <w:rPr>
                <w:rFonts w:ascii="Calibri" w:hAnsi="Calibri" w:eastAsia="Times New Roman" w:cs="Times New Roman"/>
                <w:sz w:val="19"/>
              </w:rPr>
              <w:t>0.2610</w:t>
            </w:r>
          </w:p>
        </w:tc>
        <w:tc>
          <w:tcPr>
            <w:tcW w:type="dxa" w:w="2207"/>
          </w:tcPr>
          <w:p>
            <w:pPr>
              <w:jc w:val="right"/>
            </w:pPr>
            <w:r/>
            <w:r>
              <w:rPr>
                <w:rFonts w:ascii="Calibri" w:hAnsi="Calibri" w:eastAsia="Times New Roman" w:cs="Times New Roman"/>
                <w:sz w:val="19"/>
              </w:rPr>
              <w:t>0.3629</w:t>
            </w:r>
          </w:p>
        </w:tc>
        <w:tc>
          <w:tcPr>
            <w:tcW w:type="dxa" w:w="2207"/>
          </w:tcPr>
          <w:p>
            <w:pPr>
              <w:jc w:val="right"/>
            </w:pPr>
            <w:r/>
            <w:r>
              <w:rPr>
                <w:rFonts w:ascii="Calibri" w:hAnsi="Calibri" w:eastAsia="Times New Roman" w:cs="Times New Roman"/>
                <w:sz w:val="19"/>
              </w:rPr>
              <w:t>—</w:t>
            </w:r>
          </w:p>
        </w:tc>
        <w:tc>
          <w:tcPr>
            <w:tcW w:type="dxa" w:w="2207"/>
          </w:tcPr>
          <w:p>
            <w:pPr>
              <w:jc w:val="right"/>
            </w:pPr>
            <w:r/>
            <w:r>
              <w:rPr>
                <w:rFonts w:ascii="Calibri" w:hAnsi="Calibri" w:eastAsia="Times New Roman" w:cs="Times New Roman"/>
                <w:sz w:val="19"/>
              </w:rPr>
              <w:t>0.2170</w:t>
            </w:r>
          </w:p>
        </w:tc>
        <w:tc>
          <w:tcPr>
            <w:tcW w:type="dxa" w:w="2207"/>
          </w:tcPr>
          <w:p>
            <w:pPr>
              <w:jc w:val="right"/>
            </w:pPr>
            <w:r/>
            <w:r>
              <w:rPr>
                <w:rFonts w:ascii="Calibri" w:hAnsi="Calibri" w:eastAsia="Times New Roman" w:cs="Times New Roman"/>
                <w:sz w:val="19"/>
              </w:rPr>
              <w:t>0.2918</w:t>
            </w:r>
          </w:p>
        </w:tc>
      </w:tr>
    </w:tbl>
    <w:p/>
    <w:p>
      <w:pPr>
        <w:spacing w:after="120"/>
      </w:pPr>
      <w:r>
        <w:rPr>
          <w:rFonts w:ascii="Calibri" w:hAnsi="Calibri" w:eastAsia="Times New Roman" w:cs="Times New Roman"/>
          <w:sz w:val="21"/>
        </w:rPr>
        <w:t>If the fusion benefit were merely multi-signal averaging of noise, it should shrink as sample size grows; instead it widens, and the paired win rate is 1.00 at every k on Junyi. This is the strongest available evidence that the added signals carry complementary information about difficulty rather than merely reducing variance.</w:t>
      </w:r>
    </w:p>
    <w:p>
      <w:pPr>
        <w:pStyle w:val="Heading1"/>
        <w:spacing w:before="200" w:after="80"/>
      </w:pPr>
      <w:r>
        <w:rPr>
          <w:rFonts w:ascii="Calibri" w:hAnsi="Calibri" w:eastAsia="Times New Roman" w:cs="Times New Roman"/>
          <w:sz w:val="32"/>
        </w:rPr>
        <w:t>7 Criterion Switch: Reversal, Correction, and a Deployable Rule</w:t>
      </w:r>
    </w:p>
    <w:p>
      <w:pPr>
        <w:pStyle w:val="Heading2"/>
        <w:spacing w:before="120" w:after="80"/>
      </w:pPr>
      <w:r>
        <w:rPr>
          <w:rFonts w:ascii="Calibri" w:hAnsi="Calibri" w:eastAsia="Times New Roman" w:cs="Times New Roman"/>
          <w:sz w:val="27"/>
        </w:rPr>
        <w:t>7.1 O7: the conclusion reverses</w:t>
      </w:r>
    </w:p>
    <w:p>
      <w:pPr>
        <w:spacing w:after="120"/>
      </w:pPr>
      <w:r>
        <w:rPr>
          <w:rFonts w:ascii="Calibri" w:hAnsi="Calibri" w:eastAsia="Times New Roman" w:cs="Times New Roman"/>
          <w:sz w:val="21"/>
        </w:rPr>
        <w:t xml:space="preserve">The consistency criterion above is </w:t>
      </w:r>
      <w:r>
        <w:rPr>
          <w:rFonts w:ascii="Calibri" w:hAnsi="Calibri" w:eastAsia="Times New Roman" w:cs="Times New Roman"/>
          <w:b/>
          <w:sz w:val="21"/>
        </w:rPr>
        <w:t>expert labels</w:t>
      </w:r>
      <w:r>
        <w:rPr>
          <w:rFonts w:ascii="Calibri" w:hAnsi="Calibri" w:eastAsia="Times New Roman" w:cs="Times New Roman"/>
          <w:sz w:val="21"/>
        </w:rPr>
        <w:t>, but what adaptive ranking needs is predicting real student performance. Splitting each item's responses into mutually exclusive block A (estimation, k slots) and block B (criterion, 250 slots) so that the two errors no longer share samples:</w:t>
      </w:r>
    </w:p>
    <w:p>
      <w:pPr>
        <w:spacing w:after="120"/>
      </w:pPr>
      <w:r>
        <w:rPr>
          <w:rFonts w:ascii="Calibri" w:hAnsi="Calibri" w:eastAsia="Times New Roman" w:cs="Times New Roman"/>
          <w:b/>
          <w:sz w:val="21"/>
        </w:rPr>
        <w:t>Table 6. O7: conclusion reversal under holdout validation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Times New Roman" w:cs="Times New Roman"/>
                <w:b/>
                <w:sz w:val="19"/>
              </w:rPr>
              <w:t>Dataset</w:t>
            </w:r>
          </w:p>
        </w:tc>
        <w:tc>
          <w:tcPr>
            <w:tcW w:type="dxa" w:w="3310"/>
            <w:shd w:val="clear" w:color="auto" w:fill="DDDDDD"/>
          </w:tcPr>
          <w:p>
            <w:r>
              <w:rPr>
                <w:b/>
              </w:rPr>
            </w:r>
            <w:r>
              <w:rPr>
                <w:rFonts w:ascii="Calibri" w:hAnsi="Calibri" w:eastAsia="Times New Roman" w:cs="Times New Roman"/>
                <w:b/>
                <w:sz w:val="19"/>
              </w:rPr>
              <w:t>k = 10</w:t>
            </w:r>
          </w:p>
        </w:tc>
        <w:tc>
          <w:tcPr>
            <w:tcW w:type="dxa" w:w="3310"/>
            <w:shd w:val="clear" w:color="auto" w:fill="DDDDDD"/>
          </w:tcPr>
          <w:p>
            <w:r>
              <w:rPr>
                <w:b/>
              </w:rPr>
            </w:r>
            <w:r>
              <w:rPr>
                <w:rFonts w:ascii="Calibri" w:hAnsi="Calibri" w:eastAsia="Times New Roman" w:cs="Times New Roman"/>
                <w:b/>
                <w:sz w:val="19"/>
              </w:rPr>
              <w:t>k = 200</w:t>
            </w:r>
          </w:p>
        </w:tc>
        <w:tc>
          <w:tcPr>
            <w:tcW w:type="dxa" w:w="3310"/>
            <w:shd w:val="clear" w:color="auto" w:fill="DDDDDD"/>
          </w:tcPr>
          <w:p>
            <w:r>
              <w:rPr>
                <w:b/>
              </w:rPr>
            </w:r>
            <w:r>
              <w:rPr>
                <w:rFonts w:ascii="Calibri" w:hAnsi="Calibri" w:eastAsia="Times New Roman" w:cs="Times New Roman"/>
                <w:b/>
                <w:sz w:val="19"/>
              </w:rPr>
              <w:t>Fusion win rate</w:t>
            </w:r>
          </w:p>
        </w:tc>
      </w:tr>
      <w:tr>
        <w:tc>
          <w:tcPr>
            <w:tcW w:type="dxa" w:w="3310"/>
          </w:tcPr>
          <w:p>
            <w:r/>
            <w:r>
              <w:rPr>
                <w:rFonts w:ascii="Calibri" w:hAnsi="Calibri" w:eastAsia="Times New Roman" w:cs="Times New Roman"/>
                <w:sz w:val="19"/>
              </w:rPr>
              <w:t>Junyi success-only → fusion</w:t>
            </w:r>
          </w:p>
        </w:tc>
        <w:tc>
          <w:tcPr>
            <w:tcW w:type="dxa" w:w="3310"/>
          </w:tcPr>
          <w:p>
            <w:r/>
            <w:r>
              <w:rPr>
                <w:rFonts w:ascii="Calibri" w:hAnsi="Calibri" w:eastAsia="Times New Roman" w:cs="Times New Roman"/>
                <w:sz w:val="19"/>
              </w:rPr>
              <w:t>0.6677 → 0.6410 (−0.0267)</w:t>
            </w:r>
          </w:p>
        </w:tc>
        <w:tc>
          <w:tcPr>
            <w:tcW w:type="dxa" w:w="3310"/>
          </w:tcPr>
          <w:p>
            <w:r/>
            <w:r>
              <w:rPr>
                <w:rFonts w:ascii="Calibri" w:hAnsi="Calibri" w:eastAsia="Times New Roman" w:cs="Times New Roman"/>
                <w:sz w:val="19"/>
              </w:rPr>
              <w:t>0.9509 → 0.8287 (</w:t>
            </w:r>
            <w:r>
              <w:rPr>
                <w:rFonts w:ascii="Calibri" w:hAnsi="Calibri" w:eastAsia="Times New Roman" w:cs="Times New Roman"/>
                <w:b/>
                <w:sz w:val="19"/>
              </w:rPr>
              <w:t>−0.1222</w:t>
            </w:r>
            <w:r>
              <w:rPr>
                <w:rFonts w:ascii="Calibri" w:hAnsi="Calibri" w:eastAsia="Times New Roman" w:cs="Times New Roman"/>
                <w:sz w:val="19"/>
              </w:rPr>
              <w:t>)</w:t>
            </w:r>
          </w:p>
        </w:tc>
        <w:tc>
          <w:tcPr>
            <w:tcW w:type="dxa" w:w="3310"/>
          </w:tcPr>
          <w:p>
            <w:r/>
            <w:r>
              <w:rPr>
                <w:rFonts w:ascii="Calibri" w:hAnsi="Calibri" w:eastAsia="Times New Roman" w:cs="Times New Roman"/>
                <w:sz w:val="19"/>
              </w:rPr>
              <w:t>0.00</w:t>
            </w:r>
          </w:p>
        </w:tc>
      </w:tr>
      <w:tr>
        <w:tc>
          <w:tcPr>
            <w:tcW w:type="dxa" w:w="3310"/>
          </w:tcPr>
          <w:p>
            <w:r/>
            <w:r>
              <w:rPr>
                <w:rFonts w:ascii="Calibri" w:hAnsi="Calibri" w:eastAsia="Times New Roman" w:cs="Times New Roman"/>
                <w:sz w:val="19"/>
              </w:rPr>
              <w:t>DBE success-only → fusion</w:t>
            </w:r>
          </w:p>
        </w:tc>
        <w:tc>
          <w:tcPr>
            <w:tcW w:type="dxa" w:w="3310"/>
          </w:tcPr>
          <w:p>
            <w:r/>
            <w:r>
              <w:rPr>
                <w:rFonts w:ascii="Calibri" w:hAnsi="Calibri" w:eastAsia="Times New Roman" w:cs="Times New Roman"/>
                <w:sz w:val="19"/>
              </w:rPr>
              <w:t>0.8083 → 0.6331 (−0.1752)</w:t>
            </w:r>
          </w:p>
        </w:tc>
        <w:tc>
          <w:tcPr>
            <w:tcW w:type="dxa" w:w="3310"/>
          </w:tcPr>
          <w:p>
            <w:r/>
            <w:r>
              <w:rPr>
                <w:rFonts w:ascii="Calibri" w:hAnsi="Calibri" w:eastAsia="Times New Roman" w:cs="Times New Roman"/>
                <w:sz w:val="19"/>
              </w:rPr>
              <w:t>—</w:t>
            </w:r>
          </w:p>
        </w:tc>
        <w:tc>
          <w:tcPr>
            <w:tcW w:type="dxa" w:w="3310"/>
          </w:tcPr>
          <w:p>
            <w:r/>
            <w:r>
              <w:rPr>
                <w:rFonts w:ascii="Calibri" w:hAnsi="Calibri" w:eastAsia="Times New Roman" w:cs="Times New Roman"/>
                <w:sz w:val="19"/>
              </w:rPr>
              <w:t>0.00</w:t>
            </w:r>
          </w:p>
        </w:tc>
      </w:tr>
    </w:tbl>
    <w:p/>
    <w:p>
      <w:pPr>
        <w:spacing w:after="120"/>
      </w:pPr>
      <w:r>
        <w:rPr>
          <w:rFonts w:ascii="Calibri" w:hAnsi="Calibri" w:eastAsia="Times New Roman" w:cs="Times New Roman"/>
          <w:sz w:val="21"/>
        </w:rPr>
        <w:t>The fusion loses at every sample size and on both datasets. We did not attribute this to tuning preference but inspected the configuration, and located one real directional error.</w:t>
      </w:r>
    </w:p>
    <w:p>
      <w:pPr>
        <w:pStyle w:val="Heading2"/>
        <w:spacing w:before="120" w:after="80"/>
      </w:pPr>
      <w:r>
        <w:rPr>
          <w:rFonts w:ascii="Calibri" w:hAnsi="Calibri" w:eastAsia="Times New Roman" w:cs="Times New Roman"/>
          <w:sz w:val="27"/>
        </w:rPr>
        <w:t>7.2 O8: locating and fixing a directional error</w:t>
      </w:r>
    </w:p>
    <w:p>
      <w:pPr>
        <w:spacing w:after="120"/>
      </w:pPr>
      <w:r>
        <w:rPr>
          <w:rFonts w:ascii="Calibri" w:hAnsi="Calibri" w:eastAsia="Times New Roman" w:cs="Times New Roman"/>
          <w:sz w:val="21"/>
        </w:rPr>
        <w:t>Dropping the upgrade-rate signal (</w:t>
      </w:r>
      <w:r>
        <w:rPr>
          <w:rFonts w:ascii="Consolas" w:hAnsi="Consolas" w:eastAsia="Times New Roman" w:cs="Times New Roman"/>
          <w:sz w:val="21"/>
        </w:rPr>
        <w:t>fused6</w:t>
      </w:r>
      <w:r>
        <w:rPr>
          <w:rFonts w:ascii="Calibri" w:hAnsi="Calibri" w:eastAsia="Times New Roman" w:cs="Times New Roman"/>
          <w:sz w:val="21"/>
        </w:rPr>
        <w:t>) reverses the sign: at k = 10 the variant ρ rises to 0.6880 with λ</w:t>
      </w:r>
      <w:r>
        <w:rPr>
          <w:rFonts w:ascii="Calibri" w:hAnsi="Calibri" w:eastAsia="Times New Roman" w:cs="Times New Roman"/>
          <w:i/>
          <w:sz w:val="21"/>
        </w:rPr>
        <w:t xml:space="preserve"> = 0.70 and holdout ρ(λ</w:t>
      </w:r>
      <w:r>
        <w:rPr>
          <w:rFonts w:ascii="Calibri" w:hAnsi="Calibri" w:eastAsia="Times New Roman" w:cs="Times New Roman"/>
          <w:sz w:val="21"/>
        </w:rPr>
        <w:t xml:space="preserve">) = 0.6992, a </w:t>
      </w:r>
      <w:r>
        <w:rPr>
          <w:rFonts w:ascii="Calibri" w:hAnsi="Calibri" w:eastAsia="Times New Roman" w:cs="Times New Roman"/>
          <w:b/>
          <w:sz w:val="21"/>
        </w:rPr>
        <w:t>+3.43 pp</w:t>
      </w:r>
      <w:r>
        <w:rPr>
          <w:rFonts w:ascii="Calibri" w:hAnsi="Calibri" w:eastAsia="Times New Roman" w:cs="Times New Roman"/>
          <w:sz w:val="21"/>
        </w:rPr>
        <w:t xml:space="preserve"> gain against the original fused7's +1.73 pp, whereas a three-signal variant shows essentially zero gain. λ* falls monotonically from 0.70 at k = 10 to 0.12 at k = 200, showing that how much fusion should contribute is a function of sample size.</w:t>
      </w:r>
    </w:p>
    <w:p>
      <w:pPr>
        <w:pStyle w:val="Heading2"/>
        <w:spacing w:before="120" w:after="80"/>
      </w:pPr>
      <w:r>
        <w:rPr>
          <w:rFonts w:ascii="Calibri" w:hAnsi="Calibri" w:eastAsia="Times New Roman" w:cs="Times New Roman"/>
          <w:sz w:val="27"/>
        </w:rPr>
        <w:t>7.3 O9 and O10: is λ*(k) deployable?</w:t>
      </w:r>
    </w:p>
    <w:p>
      <w:pPr>
        <w:spacing w:after="120"/>
      </w:pPr>
      <w:r>
        <w:rPr>
          <w:rFonts w:ascii="Calibri" w:hAnsi="Calibri" w:eastAsia="Times New Roman" w:cs="Times New Roman"/>
          <w:sz w:val="21"/>
        </w:rPr>
        <w:t>O9 fits (k₀, p) using only λ</w:t>
      </w:r>
      <w:r>
        <w:rPr>
          <w:rFonts w:ascii="Calibri" w:hAnsi="Calibri" w:eastAsia="Times New Roman" w:cs="Times New Roman"/>
          <w:i/>
          <w:sz w:val="21"/>
        </w:rPr>
        <w:t xml:space="preserve"> from k ∈ {10, 50, 200} and evaluates at k = 25 and 100, which lie </w:t>
      </w:r>
      <w:r>
        <w:rPr>
          <w:rFonts w:ascii="Calibri" w:hAnsi="Calibri" w:eastAsia="Times New Roman" w:cs="Times New Roman"/>
          <w:i/>
          <w:sz w:val="21"/>
        </w:rPr>
        <w:t>within</w:t>
      </w:r>
      <w:r>
        <w:rPr>
          <w:rFonts w:ascii="Calibri" w:hAnsi="Calibri" w:eastAsia="Times New Roman" w:cs="Times New Roman"/>
          <w:i/>
          <w:sz w:val="21"/>
        </w:rPr>
        <w:t xml:space="preserve"> the fit interval: at k = 25, λ̂ = 0.520 against an empirically half-split-picked 0.536, giving ρ 0.8103 → 0.8272 (+1.695 pp formula, +1.528 pp empirical, retention 111%); at k = 100, λ̂ = 0.239 against 0.230, +0.237 pp formula and +0.186 pp empirical (retention 128%). O10 addresses a sharper attack—that §7.2 split </w:t>
      </w:r>
      <w:r>
        <w:rPr>
          <w:rFonts w:ascii="Calibri" w:hAnsi="Calibri" w:eastAsia="Times New Roman" w:cs="Times New Roman"/>
          <w:i/>
          <w:sz w:val="21"/>
        </w:rPr>
        <w:t>records</w:t>
      </w:r>
      <w:r>
        <w:rPr>
          <w:rFonts w:ascii="Calibri" w:hAnsi="Calibri" w:eastAsia="Times New Roman" w:cs="Times New Roman"/>
          <w:i/>
          <w:sz w:val="21"/>
        </w:rPr>
        <w:t>, not students, so the errors are not independent—by splitting the 72,758 students instead: at k = 10 the λ̂-formula mixture (untuned) reaches 0.6995 against success-only 0.6631 (</w:t>
      </w:r>
      <w:r>
        <w:rPr>
          <w:rFonts w:ascii="Calibri" w:hAnsi="Calibri" w:eastAsia="Times New Roman" w:cs="Times New Roman"/>
          <w:i/>
          <w:sz w:val="21"/>
        </w:rPr>
        <w:t>+3.64 pp</w:t>
      </w:r>
      <w:r>
        <w:rPr>
          <w:rFonts w:ascii="Calibri" w:hAnsi="Calibri" w:eastAsia="Times New Roman" w:cs="Times New Roman"/>
          <w:i/>
          <w:sz w:val="21"/>
        </w:rPr>
        <w:t>) with λ̂ = 0.711 versus λ</w:t>
      </w:r>
      <w:r>
        <w:rPr>
          <w:rFonts w:ascii="Calibri" w:hAnsi="Calibri" w:eastAsia="Times New Roman" w:cs="Times New Roman"/>
          <w:sz w:val="21"/>
        </w:rPr>
        <w:t>_emp = 0.716, and at k = 25 λ̂ = 0.520 versus 0.521. The formula therefore survives an independent, untuned, student-level test.</w:t>
      </w:r>
    </w:p>
    <w:p>
      <w:pPr>
        <w:pStyle w:val="Heading2"/>
        <w:spacing w:before="120" w:after="80"/>
      </w:pPr>
      <w:r>
        <w:rPr>
          <w:rFonts w:ascii="Calibri" w:hAnsi="Calibri" w:eastAsia="Times New Roman" w:cs="Times New Roman"/>
          <w:sz w:val="27"/>
        </w:rPr>
        <w:t xml:space="preserve">7.4 O11/O12: </w:t>
      </w:r>
      <w:r>
        <w:rPr>
          <w:rFonts w:ascii="Consolas" w:hAnsi="Consolas" w:eastAsia="Times New Roman" w:cs="Times New Roman"/>
          <w:sz w:val="27"/>
        </w:rPr>
        <w:t>srw7</w:t>
      </w:r>
      <w:r>
        <w:rPr>
          <w:rFonts w:ascii="Calibri" w:hAnsi="Calibri" w:eastAsia="Times New Roman" w:cs="Times New Roman"/>
          <w:sz w:val="27"/>
        </w:rPr>
        <w:t xml:space="preserve"> and the size of the surviving gain</w:t>
      </w:r>
    </w:p>
    <w:p>
      <w:pPr>
        <w:spacing w:after="120"/>
      </w:pPr>
      <w:r>
        <w:rPr>
          <w:rFonts w:ascii="Calibri" w:hAnsi="Calibri" w:eastAsia="Times New Roman" w:cs="Times New Roman"/>
          <w:sz w:val="21"/>
        </w:rPr>
        <w:t xml:space="preserve">A directionally wrong signal should be sign-corrected, not deleted, and each signal should be weighted by its reliability within the split-half. The resulting </w:t>
      </w:r>
      <w:r>
        <w:rPr>
          <w:rFonts w:ascii="Consolas" w:hAnsi="Consolas" w:eastAsia="Times New Roman" w:cs="Times New Roman"/>
          <w:sz w:val="21"/>
        </w:rPr>
        <w:t>srw7</w:t>
      </w:r>
      <w:r>
        <w:rPr>
          <w:rFonts w:ascii="Calibri" w:hAnsi="Calibri" w:eastAsia="Times New Roman" w:cs="Times New Roman"/>
          <w:sz w:val="21"/>
        </w:rPr>
        <w:t xml:space="preserve"> estimator gives record-level gains of +3.823 pp at k = 10 down to +0.138 pp at k = 200, and student-level gains of </w:t>
      </w:r>
      <w:r>
        <w:rPr>
          <w:rFonts w:ascii="Calibri" w:hAnsi="Calibri" w:eastAsia="Times New Roman" w:cs="Times New Roman"/>
          <w:b/>
          <w:sz w:val="21"/>
        </w:rPr>
        <w:t>+4.283 pp at k = 10</w:t>
      </w:r>
      <w:r>
        <w:rPr>
          <w:rFonts w:ascii="Calibri" w:hAnsi="Calibri" w:eastAsia="Times New Roman" w:cs="Times New Roman"/>
          <w:sz w:val="21"/>
        </w:rPr>
        <w:t xml:space="preserve"> (win rate 0.902, Wilcoxon p = 1.15e-66), +2.189 pp at k = 25, +0.951 pp at k = 50, +0.335 pp at k = 100, and </w:t>
      </w:r>
      <w:r>
        <w:rPr>
          <w:rFonts w:ascii="Calibri" w:hAnsi="Calibri" w:eastAsia="Times New Roman" w:cs="Times New Roman"/>
          <w:b/>
          <w:sz w:val="21"/>
        </w:rPr>
        <w:t>+0.102 pp at k = 200</w:t>
      </w:r>
      <w:r>
        <w:rPr>
          <w:rFonts w:ascii="Calibri" w:hAnsi="Calibri" w:eastAsia="Times New Roman" w:cs="Times New Roman"/>
          <w:sz w:val="21"/>
        </w:rPr>
        <w:t xml:space="preserve"> (win rate 0.996). Three boundaries must be reported with these conclusions: the gain vanishes rapidly with sample size (student-level +0.335 pp at k = 100, +0.102 pp at k = 200), so for a mature question bank with hundreds of observations per item the fusion is not worth its complexity; the result is bounded to the assessed datasets and calibers; and the criterion change, not the estimator, is what reversed the conclusion.</w:t>
      </w:r>
    </w:p>
    <w:p>
      <w:pPr>
        <w:spacing w:after="120"/>
      </w:pPr>
      <w:r>
        <w:rPr>
          <w:rFonts w:ascii="Calibri" w:hAnsi="Calibri" w:eastAsia="Times New Roman" w:cs="Times New Roman"/>
          <w:b/>
          <w:sz w:val="21"/>
        </w:rPr>
        <w:t>Table 8. O11/O12: `srw7` holdout gain (pp) relative to the success-rate-only baseline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pPr>
              <w:jc w:val="right"/>
            </w:pPr>
            <w:r>
              <w:rPr>
                <w:b/>
              </w:rPr>
            </w:r>
            <w:r>
              <w:rPr>
                <w:rFonts w:ascii="Calibri" w:hAnsi="Calibri" w:eastAsia="Times New Roman" w:cs="Times New Roman"/>
                <w:b/>
                <w:sz w:val="19"/>
              </w:rPr>
              <w:t>k</w:t>
            </w:r>
          </w:p>
        </w:tc>
        <w:tc>
          <w:tcPr>
            <w:tcW w:type="dxa" w:w="3310"/>
            <w:shd w:val="clear" w:color="auto" w:fill="DDDDDD"/>
          </w:tcPr>
          <w:p>
            <w:pPr>
              <w:jc w:val="right"/>
            </w:pPr>
            <w:r>
              <w:rPr>
                <w:b/>
              </w:rPr>
            </w:r>
            <w:r>
              <w:rPr>
                <w:rFonts w:ascii="Calibri" w:hAnsi="Calibri" w:eastAsia="Times New Roman" w:cs="Times New Roman"/>
                <w:b/>
                <w:sz w:val="19"/>
              </w:rPr>
              <w:t xml:space="preserve">Record-level </w:t>
            </w:r>
            <w:r>
              <w:rPr>
                <w:rFonts w:ascii="Consolas" w:hAnsi="Consolas" w:eastAsia="Times New Roman" w:cs="Times New Roman"/>
                <w:b/>
                <w:sz w:val="19"/>
              </w:rPr>
              <w:t>srw7</w:t>
            </w:r>
          </w:p>
        </w:tc>
        <w:tc>
          <w:tcPr>
            <w:tcW w:type="dxa" w:w="3310"/>
            <w:shd w:val="clear" w:color="auto" w:fill="DDDDDD"/>
          </w:tcPr>
          <w:p>
            <w:pPr>
              <w:jc w:val="right"/>
            </w:pPr>
            <w:r>
              <w:rPr>
                <w:b/>
              </w:rPr>
            </w:r>
            <w:r>
              <w:rPr>
                <w:rFonts w:ascii="Calibri" w:hAnsi="Calibri" w:eastAsia="Times New Roman" w:cs="Times New Roman"/>
                <w:b/>
                <w:sz w:val="19"/>
              </w:rPr>
              <w:t xml:space="preserve">Student-level </w:t>
            </w:r>
            <w:r>
              <w:rPr>
                <w:rFonts w:ascii="Consolas" w:hAnsi="Consolas" w:eastAsia="Times New Roman" w:cs="Times New Roman"/>
                <w:b/>
                <w:sz w:val="19"/>
              </w:rPr>
              <w:t>srw7</w:t>
            </w:r>
          </w:p>
        </w:tc>
        <w:tc>
          <w:tcPr>
            <w:tcW w:type="dxa" w:w="3310"/>
            <w:shd w:val="clear" w:color="auto" w:fill="DDDDDD"/>
          </w:tcPr>
          <w:p>
            <w:pPr>
              <w:jc w:val="right"/>
            </w:pPr>
            <w:r>
              <w:rPr>
                <w:b/>
              </w:rPr>
            </w:r>
            <w:r>
              <w:rPr>
                <w:rFonts w:ascii="Calibri" w:hAnsi="Calibri" w:eastAsia="Times New Roman" w:cs="Times New Roman"/>
                <w:b/>
                <w:sz w:val="19"/>
              </w:rPr>
              <w:t>Student-level win rate</w:t>
            </w:r>
          </w:p>
        </w:tc>
      </w:tr>
      <w:tr>
        <w:tc>
          <w:tcPr>
            <w:tcW w:type="dxa" w:w="3310"/>
          </w:tcPr>
          <w:p>
            <w:pPr>
              <w:jc w:val="right"/>
            </w:pPr>
            <w:r/>
            <w:r>
              <w:rPr>
                <w:rFonts w:ascii="Calibri" w:hAnsi="Calibri" w:eastAsia="Times New Roman" w:cs="Times New Roman"/>
                <w:sz w:val="19"/>
              </w:rPr>
              <w:t>10</w:t>
            </w:r>
          </w:p>
        </w:tc>
        <w:tc>
          <w:tcPr>
            <w:tcW w:type="dxa" w:w="3310"/>
          </w:tcPr>
          <w:p>
            <w:pPr>
              <w:jc w:val="right"/>
            </w:pPr>
            <w:r/>
            <w:r>
              <w:rPr>
                <w:rFonts w:ascii="Calibri" w:hAnsi="Calibri" w:eastAsia="Times New Roman" w:cs="Times New Roman"/>
                <w:sz w:val="19"/>
              </w:rPr>
              <w:t>+3.823</w:t>
            </w:r>
          </w:p>
        </w:tc>
        <w:tc>
          <w:tcPr>
            <w:tcW w:type="dxa" w:w="3310"/>
          </w:tcPr>
          <w:p>
            <w:pPr>
              <w:jc w:val="right"/>
            </w:pPr>
            <w:r/>
            <w:r>
              <w:rPr>
                <w:rFonts w:ascii="Calibri" w:hAnsi="Calibri" w:eastAsia="Times New Roman" w:cs="Times New Roman"/>
                <w:b/>
                <w:sz w:val="19"/>
              </w:rPr>
              <w:t>+4.283</w:t>
            </w:r>
          </w:p>
        </w:tc>
        <w:tc>
          <w:tcPr>
            <w:tcW w:type="dxa" w:w="3310"/>
          </w:tcPr>
          <w:p>
            <w:pPr>
              <w:jc w:val="right"/>
            </w:pPr>
            <w:r/>
            <w:r>
              <w:rPr>
                <w:rFonts w:ascii="Calibri" w:hAnsi="Calibri" w:eastAsia="Times New Roman" w:cs="Times New Roman"/>
                <w:sz w:val="19"/>
              </w:rPr>
              <w:t>0.902</w:t>
            </w:r>
          </w:p>
        </w:tc>
      </w:tr>
      <w:tr>
        <w:tc>
          <w:tcPr>
            <w:tcW w:type="dxa" w:w="3310"/>
          </w:tcPr>
          <w:p>
            <w:pPr>
              <w:jc w:val="right"/>
            </w:pPr>
            <w:r/>
            <w:r>
              <w:rPr>
                <w:rFonts w:ascii="Calibri" w:hAnsi="Calibri" w:eastAsia="Times New Roman" w:cs="Times New Roman"/>
                <w:sz w:val="19"/>
              </w:rPr>
              <w:t>25</w:t>
            </w:r>
          </w:p>
        </w:tc>
        <w:tc>
          <w:tcPr>
            <w:tcW w:type="dxa" w:w="3310"/>
          </w:tcPr>
          <w:p>
            <w:pPr>
              <w:jc w:val="right"/>
            </w:pPr>
            <w:r/>
            <w:r>
              <w:rPr>
                <w:rFonts w:ascii="Calibri" w:hAnsi="Calibri" w:eastAsia="Times New Roman" w:cs="Times New Roman"/>
                <w:sz w:val="19"/>
              </w:rPr>
              <w:t>+2.025</w:t>
            </w:r>
          </w:p>
        </w:tc>
        <w:tc>
          <w:tcPr>
            <w:tcW w:type="dxa" w:w="3310"/>
          </w:tcPr>
          <w:p>
            <w:pPr>
              <w:jc w:val="right"/>
            </w:pPr>
            <w:r/>
            <w:r>
              <w:rPr>
                <w:rFonts w:ascii="Calibri" w:hAnsi="Calibri" w:eastAsia="Times New Roman" w:cs="Times New Roman"/>
                <w:sz w:val="19"/>
              </w:rPr>
              <w:t>+2.189</w:t>
            </w:r>
          </w:p>
        </w:tc>
        <w:tc>
          <w:tcPr>
            <w:tcW w:type="dxa" w:w="3310"/>
          </w:tcPr>
          <w:p>
            <w:pPr>
              <w:jc w:val="right"/>
            </w:pPr>
            <w:r/>
            <w:r>
              <w:rPr>
                <w:rFonts w:ascii="Calibri" w:hAnsi="Calibri" w:eastAsia="Times New Roman" w:cs="Times New Roman"/>
                <w:sz w:val="19"/>
              </w:rPr>
              <w:t>1.000</w:t>
            </w:r>
          </w:p>
        </w:tc>
      </w:tr>
      <w:tr>
        <w:tc>
          <w:tcPr>
            <w:tcW w:type="dxa" w:w="3310"/>
          </w:tcPr>
          <w:p>
            <w:pPr>
              <w:jc w:val="right"/>
            </w:pPr>
            <w:r/>
            <w:r>
              <w:rPr>
                <w:rFonts w:ascii="Calibri" w:hAnsi="Calibri" w:eastAsia="Times New Roman" w:cs="Times New Roman"/>
                <w:sz w:val="19"/>
              </w:rPr>
              <w:t>50</w:t>
            </w:r>
          </w:p>
        </w:tc>
        <w:tc>
          <w:tcPr>
            <w:tcW w:type="dxa" w:w="3310"/>
          </w:tcPr>
          <w:p>
            <w:pPr>
              <w:jc w:val="right"/>
            </w:pPr>
            <w:r/>
            <w:r>
              <w:rPr>
                <w:rFonts w:ascii="Calibri" w:hAnsi="Calibri" w:eastAsia="Times New Roman" w:cs="Times New Roman"/>
                <w:sz w:val="19"/>
              </w:rPr>
              <w:t>+0.930</w:t>
            </w:r>
          </w:p>
        </w:tc>
        <w:tc>
          <w:tcPr>
            <w:tcW w:type="dxa" w:w="3310"/>
          </w:tcPr>
          <w:p>
            <w:pPr>
              <w:jc w:val="right"/>
            </w:pPr>
            <w:r/>
            <w:r>
              <w:rPr>
                <w:rFonts w:ascii="Calibri" w:hAnsi="Calibri" w:eastAsia="Times New Roman" w:cs="Times New Roman"/>
                <w:sz w:val="19"/>
              </w:rPr>
              <w:t>+0.951</w:t>
            </w:r>
          </w:p>
        </w:tc>
        <w:tc>
          <w:tcPr>
            <w:tcW w:type="dxa" w:w="3310"/>
          </w:tcPr>
          <w:p>
            <w:pPr>
              <w:jc w:val="right"/>
            </w:pPr>
            <w:r/>
            <w:r>
              <w:rPr>
                <w:rFonts w:ascii="Calibri" w:hAnsi="Calibri" w:eastAsia="Times New Roman" w:cs="Times New Roman"/>
                <w:sz w:val="19"/>
              </w:rPr>
              <w:t>1.000</w:t>
            </w:r>
          </w:p>
        </w:tc>
      </w:tr>
      <w:tr>
        <w:tc>
          <w:tcPr>
            <w:tcW w:type="dxa" w:w="3310"/>
          </w:tcPr>
          <w:p>
            <w:pPr>
              <w:jc w:val="right"/>
            </w:pPr>
            <w:r/>
            <w:r>
              <w:rPr>
                <w:rFonts w:ascii="Calibri" w:hAnsi="Calibri" w:eastAsia="Times New Roman" w:cs="Times New Roman"/>
                <w:sz w:val="19"/>
              </w:rPr>
              <w:t>100</w:t>
            </w:r>
          </w:p>
        </w:tc>
        <w:tc>
          <w:tcPr>
            <w:tcW w:type="dxa" w:w="3310"/>
          </w:tcPr>
          <w:p>
            <w:pPr>
              <w:jc w:val="right"/>
            </w:pPr>
            <w:r/>
            <w:r>
              <w:rPr>
                <w:rFonts w:ascii="Calibri" w:hAnsi="Calibri" w:eastAsia="Times New Roman" w:cs="Times New Roman"/>
                <w:sz w:val="19"/>
              </w:rPr>
              <w:t>+0.391</w:t>
            </w:r>
          </w:p>
        </w:tc>
        <w:tc>
          <w:tcPr>
            <w:tcW w:type="dxa" w:w="3310"/>
          </w:tcPr>
          <w:p>
            <w:pPr>
              <w:jc w:val="right"/>
            </w:pPr>
            <w:r/>
            <w:r>
              <w:rPr>
                <w:rFonts w:ascii="Calibri" w:hAnsi="Calibri" w:eastAsia="Times New Roman" w:cs="Times New Roman"/>
                <w:sz w:val="19"/>
              </w:rPr>
              <w:t>+0.335</w:t>
            </w:r>
          </w:p>
        </w:tc>
        <w:tc>
          <w:tcPr>
            <w:tcW w:type="dxa" w:w="3310"/>
          </w:tcPr>
          <w:p>
            <w:pPr>
              <w:jc w:val="right"/>
            </w:pPr>
            <w:r/>
            <w:r>
              <w:rPr>
                <w:rFonts w:ascii="Calibri" w:hAnsi="Calibri" w:eastAsia="Times New Roman" w:cs="Times New Roman"/>
                <w:sz w:val="19"/>
              </w:rPr>
              <w:t>0.998</w:t>
            </w:r>
          </w:p>
        </w:tc>
      </w:tr>
      <w:tr>
        <w:tc>
          <w:tcPr>
            <w:tcW w:type="dxa" w:w="3310"/>
          </w:tcPr>
          <w:p>
            <w:pPr>
              <w:jc w:val="right"/>
            </w:pPr>
            <w:r/>
            <w:r>
              <w:rPr>
                <w:rFonts w:ascii="Calibri" w:hAnsi="Calibri" w:eastAsia="Times New Roman" w:cs="Times New Roman"/>
                <w:sz w:val="19"/>
              </w:rPr>
              <w:t>200</w:t>
            </w:r>
          </w:p>
        </w:tc>
        <w:tc>
          <w:tcPr>
            <w:tcW w:type="dxa" w:w="3310"/>
          </w:tcPr>
          <w:p>
            <w:pPr>
              <w:jc w:val="right"/>
            </w:pPr>
            <w:r/>
            <w:r>
              <w:rPr>
                <w:rFonts w:ascii="Calibri" w:hAnsi="Calibri" w:eastAsia="Times New Roman" w:cs="Times New Roman"/>
                <w:sz w:val="19"/>
              </w:rPr>
              <w:t>+0.138</w:t>
            </w:r>
          </w:p>
        </w:tc>
        <w:tc>
          <w:tcPr>
            <w:tcW w:type="dxa" w:w="3310"/>
          </w:tcPr>
          <w:p>
            <w:pPr>
              <w:jc w:val="right"/>
            </w:pPr>
            <w:r/>
            <w:r>
              <w:rPr>
                <w:rFonts w:ascii="Calibri" w:hAnsi="Calibri" w:eastAsia="Times New Roman" w:cs="Times New Roman"/>
                <w:b/>
                <w:sz w:val="19"/>
              </w:rPr>
              <w:t>+0.102</w:t>
            </w:r>
          </w:p>
        </w:tc>
        <w:tc>
          <w:tcPr>
            <w:tcW w:type="dxa" w:w="3310"/>
          </w:tcPr>
          <w:p>
            <w:pPr>
              <w:jc w:val="right"/>
            </w:pPr>
            <w:r/>
            <w:r>
              <w:rPr>
                <w:rFonts w:ascii="Calibri" w:hAnsi="Calibri" w:eastAsia="Times New Roman" w:cs="Times New Roman"/>
                <w:sz w:val="19"/>
              </w:rPr>
              <w:t>0.996</w:t>
            </w:r>
          </w:p>
        </w:tc>
      </w:tr>
    </w:tbl>
    <w:p/>
    <w:p>
      <w:pPr>
        <w:spacing w:after="120"/>
      </w:pPr>
      <w:r>
        <w:rPr>
          <w:rFonts w:ascii="Consolas" w:hAnsi="Consolas" w:eastAsia="Times New Roman" w:cs="Times New Roman"/>
          <w:sz w:val="21"/>
        </w:rPr>
        <w:t>fused6</w:t>
      </w:r>
      <w:r>
        <w:rPr>
          <w:rFonts w:ascii="Calibri" w:hAnsi="Calibri" w:eastAsia="Times New Roman" w:cs="Times New Roman"/>
          <w:sz w:val="21"/>
        </w:rPr>
        <w:t xml:space="preserve">—the delete-the-column fix—goes </w:t>
      </w:r>
      <w:r>
        <w:rPr>
          <w:rFonts w:ascii="Calibri" w:hAnsi="Calibri" w:eastAsia="Times New Roman" w:cs="Times New Roman"/>
          <w:b/>
          <w:sz w:val="21"/>
        </w:rPr>
        <w:t>negative</w:t>
      </w:r>
      <w:r>
        <w:rPr>
          <w:rFonts w:ascii="Calibri" w:hAnsi="Calibri" w:eastAsia="Times New Roman" w:cs="Times New Roman"/>
          <w:sz w:val="21"/>
        </w:rPr>
        <w:t xml:space="preserve"> at student level for k ≥ 25 (−1.402 pp at k = 25, −6.804 pp at k = 200), whereas </w:t>
      </w:r>
      <w:r>
        <w:rPr>
          <w:rFonts w:ascii="Consolas" w:hAnsi="Consolas" w:eastAsia="Times New Roman" w:cs="Times New Roman"/>
          <w:sz w:val="21"/>
        </w:rPr>
        <w:t>srw7</w:t>
      </w:r>
      <w:r>
        <w:rPr>
          <w:rFonts w:ascii="Calibri" w:hAnsi="Calibri" w:eastAsia="Times New Roman" w:cs="Times New Roman"/>
          <w:sz w:val="21"/>
        </w:rPr>
        <w:t>—the sign-correct-and-weight-by-reliability fix—stays positive throughout. The contrast is the practical payload of §7: how one handles a directionally wrong signal determines whether the fusion helps or hurts.</w:t>
      </w:r>
    </w:p>
    <w:p>
      <w:pPr>
        <w:pStyle w:val="Heading1"/>
        <w:spacing w:before="200" w:after="80"/>
      </w:pPr>
      <w:r>
        <w:rPr>
          <w:rFonts w:ascii="Calibri" w:hAnsi="Calibri" w:eastAsia="Times New Roman" w:cs="Times New Roman"/>
          <w:sz w:val="32"/>
        </w:rPr>
        <w:t>8 The Optimal Error Rate: Descriptive Evidence and the Causal Side</w:t>
      </w:r>
    </w:p>
    <w:p>
      <w:pPr>
        <w:pStyle w:val="Heading2"/>
        <w:spacing w:before="120" w:after="80"/>
      </w:pPr>
      <w:r>
        <w:rPr>
          <w:rFonts w:ascii="Calibri" w:hAnsi="Calibri" w:eastAsia="Times New Roman" w:cs="Times New Roman"/>
          <w:sz w:val="27"/>
        </w:rPr>
        <w:t>8.1 Descriptive distribution</w:t>
      </w:r>
    </w:p>
    <w:p>
      <w:pPr>
        <w:spacing w:after="120"/>
      </w:pPr>
      <w:r>
        <w:rPr>
          <w:rFonts w:ascii="Calibri" w:hAnsi="Calibri" w:eastAsia="Times New Roman" w:cs="Times New Roman"/>
          <w:sz w:val="21"/>
        </w:rPr>
        <w:t>On assist09 (sorted by student and order_id, students with ≥20 items) a sliding window of W = 20 gives n = 286,150 windows.</w:t>
      </w:r>
    </w:p>
    <w:p>
      <w:pPr>
        <w:spacing w:after="120"/>
      </w:pPr>
      <w:r>
        <w:rPr>
          <w:rFonts w:ascii="Calibri" w:hAnsi="Calibri" w:eastAsia="Times New Roman" w:cs="Times New Roman"/>
          <w:b/>
          <w:sz w:val="21"/>
        </w:rPr>
        <w:t>Table 7. assist09 sliding-window error-rate distribution (W = 20, n = 286,150)</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Statistic</w:t>
            </w:r>
          </w:p>
        </w:tc>
        <w:tc>
          <w:tcPr>
            <w:tcW w:type="dxa" w:w="6620"/>
            <w:shd w:val="clear" w:color="auto" w:fill="DDDDDD"/>
          </w:tcPr>
          <w:p>
            <w:r>
              <w:rPr>
                <w:b/>
              </w:rPr>
            </w:r>
            <w:r>
              <w:rPr>
                <w:rFonts w:ascii="Calibri" w:hAnsi="Calibri" w:eastAsia="Times New Roman" w:cs="Times New Roman"/>
                <w:b/>
                <w:sz w:val="19"/>
              </w:rPr>
              <w:t>Value</w:t>
            </w:r>
          </w:p>
        </w:tc>
      </w:tr>
      <w:tr>
        <w:tc>
          <w:tcPr>
            <w:tcW w:type="dxa" w:w="6620"/>
          </w:tcPr>
          <w:p>
            <w:r/>
            <w:r>
              <w:rPr>
                <w:rFonts w:ascii="Calibri" w:hAnsi="Calibri" w:eastAsia="Times New Roman" w:cs="Times New Roman"/>
                <w:sz w:val="19"/>
              </w:rPr>
              <w:t>Support points</w:t>
            </w:r>
          </w:p>
        </w:tc>
        <w:tc>
          <w:tcPr>
            <w:tcW w:type="dxa" w:w="6620"/>
          </w:tcPr>
          <w:p>
            <w:r/>
            <w:r>
              <w:rPr>
                <w:rFonts w:ascii="Calibri" w:hAnsi="Calibri" w:eastAsia="Times New Roman" w:cs="Times New Roman"/>
                <w:b/>
                <w:sz w:val="19"/>
              </w:rPr>
              <w:t>21 discrete</w:t>
            </w:r>
            <w:r>
              <w:rPr>
                <w:rFonts w:ascii="Calibri" w:hAnsi="Calibri" w:eastAsia="Times New Roman" w:cs="Times New Roman"/>
                <w:sz w:val="19"/>
              </w:rPr>
              <w:t xml:space="preserve"> values</w:t>
            </w:r>
          </w:p>
        </w:tc>
      </w:tr>
      <w:tr>
        <w:tc>
          <w:tcPr>
            <w:tcW w:type="dxa" w:w="6620"/>
          </w:tcPr>
          <w:p>
            <w:r/>
            <w:r>
              <w:rPr>
                <w:rFonts w:ascii="Calibri" w:hAnsi="Calibri" w:eastAsia="Times New Roman" w:cs="Times New Roman"/>
                <w:sz w:val="19"/>
              </w:rPr>
              <w:t>Mean error rate</w:t>
            </w:r>
          </w:p>
        </w:tc>
        <w:tc>
          <w:tcPr>
            <w:tcW w:type="dxa" w:w="6620"/>
          </w:tcPr>
          <w:p>
            <w:r/>
            <w:r>
              <w:rPr>
                <w:rFonts w:ascii="Calibri" w:hAnsi="Calibri" w:eastAsia="Times New Roman" w:cs="Times New Roman"/>
                <w:b/>
                <w:sz w:val="19"/>
              </w:rPr>
              <w:t>0.3511</w:t>
            </w:r>
          </w:p>
        </w:tc>
      </w:tr>
      <w:tr>
        <w:tc>
          <w:tcPr>
            <w:tcW w:type="dxa" w:w="6620"/>
          </w:tcPr>
          <w:p>
            <w:r/>
            <w:r>
              <w:rPr>
                <w:rFonts w:ascii="Calibri" w:hAnsi="Calibri" w:eastAsia="Times New Roman" w:cs="Times New Roman"/>
                <w:sz w:val="19"/>
              </w:rPr>
              <w:t>Median error rate</w:t>
            </w:r>
          </w:p>
        </w:tc>
        <w:tc>
          <w:tcPr>
            <w:tcW w:type="dxa" w:w="6620"/>
          </w:tcPr>
          <w:p>
            <w:r/>
            <w:r>
              <w:rPr>
                <w:rFonts w:ascii="Calibri" w:hAnsi="Calibri" w:eastAsia="Times New Roman" w:cs="Times New Roman"/>
                <w:sz w:val="19"/>
              </w:rPr>
              <w:t>0.30 (success 70%)</w:t>
            </w:r>
          </w:p>
        </w:tc>
      </w:tr>
      <w:tr>
        <w:tc>
          <w:tcPr>
            <w:tcW w:type="dxa" w:w="6620"/>
          </w:tcPr>
          <w:p>
            <w:r/>
            <w:r>
              <w:rPr>
                <w:rFonts w:ascii="Calibri" w:hAnsi="Calibri" w:eastAsia="Times New Roman" w:cs="Times New Roman"/>
                <w:b/>
                <w:sz w:val="19"/>
              </w:rPr>
              <w:t>Mode (single value)</w:t>
            </w:r>
          </w:p>
        </w:tc>
        <w:tc>
          <w:tcPr>
            <w:tcW w:type="dxa" w:w="6620"/>
          </w:tcPr>
          <w:p>
            <w:r/>
            <w:r>
              <w:rPr>
                <w:rFonts w:ascii="Calibri" w:hAnsi="Calibri" w:eastAsia="Times New Roman" w:cs="Times New Roman"/>
                <w:b/>
                <w:sz w:val="19"/>
              </w:rPr>
              <w:t>error rate 0.25 — success rate 75%</w:t>
            </w:r>
            <w:r>
              <w:rPr>
                <w:rFonts w:ascii="Calibri" w:hAnsi="Calibri" w:eastAsia="Times New Roman" w:cs="Times New Roman"/>
                <w:sz w:val="19"/>
              </w:rPr>
              <w:t xml:space="preserve"> (k = 5, 30,899 windows)</w:t>
            </w:r>
          </w:p>
        </w:tc>
      </w:tr>
      <w:tr>
        <w:tc>
          <w:tcPr>
            <w:tcW w:type="dxa" w:w="6620"/>
          </w:tcPr>
          <w:p>
            <w:r/>
            <w:r>
              <w:rPr>
                <w:rFonts w:ascii="Calibri" w:hAnsi="Calibri" w:eastAsia="Times New Roman" w:cs="Times New Roman"/>
                <w:sz w:val="19"/>
              </w:rPr>
              <w:t>Mode bootstrap 95% set (</w:t>
            </w:r>
            <w:r>
              <w:rPr>
                <w:rFonts w:ascii="Calibri" w:hAnsi="Calibri" w:eastAsia="Times New Roman" w:cs="Times New Roman"/>
                <w:b/>
                <w:sz w:val="19"/>
              </w:rPr>
              <w:t>2,000</w:t>
            </w:r>
            <w:r>
              <w:rPr>
                <w:rFonts w:ascii="Calibri" w:hAnsi="Calibri" w:eastAsia="Times New Roman" w:cs="Times New Roman"/>
                <w:sz w:val="19"/>
              </w:rPr>
              <w:t xml:space="preserve"> resamples by student, seed 20260922; rerun on the assist09 source data on 2026-10-04 per review §3.3)</w:t>
            </w:r>
          </w:p>
        </w:tc>
        <w:tc>
          <w:tcPr>
            <w:tcW w:type="dxa" w:w="6620"/>
          </w:tcPr>
          <w:p>
            <w:r/>
            <w:r>
              <w:rPr>
                <w:rFonts w:ascii="Calibri" w:hAnsi="Calibri" w:eastAsia="Times New Roman" w:cs="Times New Roman"/>
                <w:b/>
                <w:sz w:val="19"/>
              </w:rPr>
              <w:t>{0.25, 0.20}</w:t>
            </w:r>
            <w:r>
              <w:rPr>
                <w:rFonts w:ascii="Calibri" w:hAnsi="Calibri" w:eastAsia="Times New Roman" w:cs="Times New Roman"/>
                <w:sz w:val="19"/>
              </w:rPr>
              <w:t xml:space="preserve"> — k = 5 in </w:t>
            </w:r>
            <w:r>
              <w:rPr>
                <w:rFonts w:ascii="Calibri" w:hAnsi="Calibri" w:eastAsia="Times New Roman" w:cs="Times New Roman"/>
                <w:b/>
                <w:sz w:val="19"/>
              </w:rPr>
              <w:t>94.1%</w:t>
            </w:r>
            <w:r>
              <w:rPr>
                <w:rFonts w:ascii="Calibri" w:hAnsi="Calibri" w:eastAsia="Times New Roman" w:cs="Times New Roman"/>
                <w:sz w:val="19"/>
              </w:rPr>
              <w:t xml:space="preserve"> and k = 4 in </w:t>
            </w:r>
            <w:r>
              <w:rPr>
                <w:rFonts w:ascii="Calibri" w:hAnsi="Calibri" w:eastAsia="Times New Roman" w:cs="Times New Roman"/>
                <w:b/>
                <w:sz w:val="19"/>
              </w:rPr>
              <w:t>5.95%</w:t>
            </w:r>
            <w:r>
              <w:rPr>
                <w:rFonts w:ascii="Calibri" w:hAnsi="Calibri" w:eastAsia="Times New Roman" w:cs="Times New Roman"/>
                <w:sz w:val="19"/>
              </w:rPr>
              <w:t xml:space="preserve"> of resamples; k = 5 alone falls below 95%, so </w:t>
            </w:r>
            <w:r>
              <w:rPr>
                <w:rFonts w:ascii="Calibri" w:hAnsi="Calibri" w:eastAsia="Times New Roman" w:cs="Times New Roman"/>
                <w:b/>
                <w:sz w:val="19"/>
              </w:rPr>
              <w:t>the mode is not unique at the 95% threshold</w:t>
            </w:r>
            <w:r>
              <w:rPr>
                <w:rFonts w:ascii="Calibri" w:hAnsi="Calibri" w:eastAsia="Times New Roman" w:cs="Times New Roman"/>
                <w:sz w:val="19"/>
              </w:rPr>
              <w:t xml:space="preserve"> (Monte Carlo standard error ≈ 0.5 pp; superseded 200-resample record: {0.25} at 95.5%, SE ≈ 1.5 pp)</w:t>
            </w:r>
          </w:p>
        </w:tc>
      </w:tr>
      <w:tr>
        <w:tc>
          <w:tcPr>
            <w:tcW w:type="dxa" w:w="6620"/>
          </w:tcPr>
          <w:p>
            <w:r/>
            <w:r>
              <w:rPr>
                <w:rFonts w:ascii="Calibri" w:hAnsi="Calibri" w:eastAsia="Times New Roman" w:cs="Times New Roman"/>
                <w:sz w:val="19"/>
              </w:rPr>
              <w:t>Window share, success 80–90%</w:t>
            </w:r>
          </w:p>
        </w:tc>
        <w:tc>
          <w:tcPr>
            <w:tcW w:type="dxa" w:w="6620"/>
          </w:tcPr>
          <w:p>
            <w:r/>
            <w:r>
              <w:rPr>
                <w:rFonts w:ascii="Calibri" w:hAnsi="Calibri" w:eastAsia="Times New Roman" w:cs="Times New Roman"/>
                <w:sz w:val="19"/>
              </w:rPr>
              <w:t>26.40%</w:t>
            </w:r>
          </w:p>
        </w:tc>
      </w:tr>
      <w:tr>
        <w:tc>
          <w:tcPr>
            <w:tcW w:type="dxa" w:w="6620"/>
          </w:tcPr>
          <w:p>
            <w:r/>
            <w:r>
              <w:rPr>
                <w:rFonts w:ascii="Calibri" w:hAnsi="Calibri" w:eastAsia="Times New Roman" w:cs="Times New Roman"/>
                <w:sz w:val="19"/>
              </w:rPr>
              <w:t>Window share, success 80–85%</w:t>
            </w:r>
          </w:p>
        </w:tc>
        <w:tc>
          <w:tcPr>
            <w:tcW w:type="dxa" w:w="6620"/>
          </w:tcPr>
          <w:p>
            <w:r/>
            <w:r>
              <w:rPr>
                <w:rFonts w:ascii="Calibri" w:hAnsi="Calibri" w:eastAsia="Times New Roman" w:cs="Times New Roman"/>
                <w:b/>
                <w:sz w:val="19"/>
              </w:rPr>
              <w:t>19.64%</w:t>
            </w:r>
            <w:r>
              <w:rPr>
                <w:rFonts w:ascii="Calibri" w:hAnsi="Calibri" w:eastAsia="Times New Roman" w:cs="Times New Roman"/>
                <w:sz w:val="19"/>
              </w:rPr>
              <w:t xml:space="preserve"> (k = 3, 4)</w:t>
            </w:r>
          </w:p>
        </w:tc>
      </w:tr>
      <w:tr>
        <w:tc>
          <w:tcPr>
            <w:tcW w:type="dxa" w:w="6620"/>
          </w:tcPr>
          <w:p>
            <w:r/>
            <w:r>
              <w:rPr>
                <w:rFonts w:ascii="Calibri" w:hAnsi="Calibri" w:eastAsia="Times New Roman" w:cs="Times New Roman"/>
                <w:sz w:val="19"/>
              </w:rPr>
              <w:t>Window share, success 77–83%</w:t>
            </w:r>
          </w:p>
        </w:tc>
        <w:tc>
          <w:tcPr>
            <w:tcW w:type="dxa" w:w="6620"/>
          </w:tcPr>
          <w:p>
            <w:r/>
            <w:r>
              <w:rPr>
                <w:rFonts w:ascii="Calibri" w:hAnsi="Calibri" w:eastAsia="Times New Roman" w:cs="Times New Roman"/>
                <w:sz w:val="19"/>
              </w:rPr>
              <w:t>10.51%</w:t>
            </w:r>
          </w:p>
        </w:tc>
      </w:tr>
    </w:tbl>
    <w:p/>
    <w:p>
      <w:pPr>
        <w:spacing w:after="120"/>
      </w:pPr>
      <w:r>
        <w:rPr>
          <w:rFonts w:ascii="Calibri" w:hAnsi="Calibri" w:eastAsia="Times New Roman" w:cs="Times New Roman"/>
          <w:b/>
          <w:sz w:val="21"/>
        </w:rPr>
        <w:t>Table 8. Robustness of the mode across filter calibers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8"/>
        <w:gridCol w:w="2648"/>
        <w:gridCol w:w="2648"/>
        <w:gridCol w:w="2648"/>
        <w:gridCol w:w="2648"/>
      </w:tblGrid>
      <w:tr>
        <w:tc>
          <w:tcPr>
            <w:tcW w:type="dxa" w:w="2648"/>
            <w:shd w:val="clear" w:color="auto" w:fill="DDDDDD"/>
          </w:tcPr>
          <w:p>
            <w:r>
              <w:rPr>
                <w:b/>
              </w:rPr>
            </w:r>
            <w:r>
              <w:rPr>
                <w:rFonts w:ascii="Calibri" w:hAnsi="Calibri" w:eastAsia="Times New Roman" w:cs="Times New Roman"/>
                <w:b/>
                <w:sz w:val="19"/>
              </w:rPr>
              <w:t>Caliber</w:t>
            </w:r>
          </w:p>
        </w:tc>
        <w:tc>
          <w:tcPr>
            <w:tcW w:type="dxa" w:w="2648"/>
            <w:shd w:val="clear" w:color="auto" w:fill="DDDDDD"/>
          </w:tcPr>
          <w:p>
            <w:pPr>
              <w:jc w:val="right"/>
            </w:pPr>
            <w:r>
              <w:rPr>
                <w:b/>
              </w:rPr>
            </w:r>
            <w:r>
              <w:rPr>
                <w:rFonts w:ascii="Calibri" w:hAnsi="Calibri" w:eastAsia="Times New Roman" w:cs="Times New Roman"/>
                <w:b/>
                <w:sz w:val="19"/>
              </w:rPr>
              <w:t>Windows (students)</w:t>
            </w:r>
          </w:p>
        </w:tc>
        <w:tc>
          <w:tcPr>
            <w:tcW w:type="dxa" w:w="2648"/>
            <w:shd w:val="clear" w:color="auto" w:fill="DDDDDD"/>
          </w:tcPr>
          <w:p>
            <w:pPr>
              <w:jc w:val="right"/>
            </w:pPr>
            <w:r>
              <w:rPr>
                <w:b/>
              </w:rPr>
            </w:r>
            <w:r>
              <w:rPr>
                <w:rFonts w:ascii="Calibri" w:hAnsi="Calibri" w:eastAsia="Times New Roman" w:cs="Times New Roman"/>
                <w:b/>
                <w:sz w:val="19"/>
              </w:rPr>
              <w:t>Mean</w:t>
            </w:r>
          </w:p>
        </w:tc>
        <w:tc>
          <w:tcPr>
            <w:tcW w:type="dxa" w:w="2648"/>
            <w:shd w:val="clear" w:color="auto" w:fill="DDDDDD"/>
          </w:tcPr>
          <w:p>
            <w:r>
              <w:rPr>
                <w:b/>
              </w:rPr>
            </w:r>
            <w:r>
              <w:rPr>
                <w:rFonts w:ascii="Calibri" w:hAnsi="Calibri" w:eastAsia="Times New Roman" w:cs="Times New Roman"/>
                <w:b/>
                <w:sz w:val="19"/>
              </w:rPr>
              <w:t>Mode</w:t>
            </w:r>
          </w:p>
        </w:tc>
        <w:tc>
          <w:tcPr>
            <w:tcW w:type="dxa" w:w="2648"/>
            <w:shd w:val="clear" w:color="auto" w:fill="DDDDDD"/>
          </w:tcPr>
          <w:p>
            <w:pPr>
              <w:jc w:val="right"/>
            </w:pPr>
            <w:r>
              <w:rPr>
                <w:b/>
              </w:rPr>
            </w:r>
            <w:r>
              <w:rPr>
                <w:rFonts w:ascii="Calibri" w:hAnsi="Calibri" w:eastAsia="Times New Roman" w:cs="Times New Roman"/>
                <w:b/>
                <w:sz w:val="19"/>
              </w:rPr>
              <w:t>Success rate at mode</w:t>
            </w:r>
          </w:p>
        </w:tc>
      </w:tr>
      <w:tr>
        <w:tc>
          <w:tcPr>
            <w:tcW w:type="dxa" w:w="2648"/>
          </w:tcPr>
          <w:p>
            <w:r/>
            <w:r>
              <w:rPr>
                <w:rFonts w:ascii="Calibri" w:hAnsi="Calibri" w:eastAsia="Times New Roman" w:cs="Times New Roman"/>
                <w:sz w:val="19"/>
              </w:rPr>
              <w:t>Full</w:t>
            </w:r>
          </w:p>
        </w:tc>
        <w:tc>
          <w:tcPr>
            <w:tcW w:type="dxa" w:w="2648"/>
          </w:tcPr>
          <w:p>
            <w:pPr>
              <w:jc w:val="right"/>
            </w:pPr>
            <w:r/>
            <w:r>
              <w:rPr>
                <w:rFonts w:ascii="Calibri" w:hAnsi="Calibri" w:eastAsia="Times New Roman" w:cs="Times New Roman"/>
                <w:sz w:val="19"/>
              </w:rPr>
              <w:t>286,150 (2,314 / 4,217)</w:t>
            </w:r>
          </w:p>
        </w:tc>
        <w:tc>
          <w:tcPr>
            <w:tcW w:type="dxa" w:w="2648"/>
          </w:tcPr>
          <w:p>
            <w:pPr>
              <w:jc w:val="right"/>
            </w:pPr>
            <w:r/>
            <w:r>
              <w:rPr>
                <w:rFonts w:ascii="Calibri" w:hAnsi="Calibri" w:eastAsia="Times New Roman" w:cs="Times New Roman"/>
                <w:sz w:val="19"/>
              </w:rPr>
              <w:t>0.3511</w:t>
            </w:r>
          </w:p>
        </w:tc>
        <w:tc>
          <w:tcPr>
            <w:tcW w:type="dxa" w:w="2648"/>
          </w:tcPr>
          <w:p>
            <w:r/>
            <w:r>
              <w:rPr>
                <w:rFonts w:ascii="Calibri" w:hAnsi="Calibri" w:eastAsia="Times New Roman" w:cs="Times New Roman"/>
                <w:sz w:val="19"/>
              </w:rPr>
              <w:t>k = 5</w:t>
            </w:r>
          </w:p>
        </w:tc>
        <w:tc>
          <w:tcPr>
            <w:tcW w:type="dxa" w:w="2648"/>
          </w:tcPr>
          <w:p>
            <w:pPr>
              <w:jc w:val="right"/>
            </w:pPr>
            <w:r/>
            <w:r>
              <w:rPr>
                <w:rFonts w:ascii="Calibri" w:hAnsi="Calibri" w:eastAsia="Times New Roman" w:cs="Times New Roman"/>
                <w:sz w:val="19"/>
              </w:rPr>
              <w:t>75%</w:t>
            </w:r>
          </w:p>
        </w:tc>
      </w:tr>
      <w:tr>
        <w:tc>
          <w:tcPr>
            <w:tcW w:type="dxa" w:w="2648"/>
          </w:tcPr>
          <w:p>
            <w:r/>
            <w:r>
              <w:rPr>
                <w:rFonts w:ascii="Calibri" w:hAnsi="Calibri" w:eastAsia="Times New Roman" w:cs="Times New Roman"/>
                <w:sz w:val="19"/>
              </w:rPr>
              <w:t>Topic items only</w:t>
            </w:r>
          </w:p>
        </w:tc>
        <w:tc>
          <w:tcPr>
            <w:tcW w:type="dxa" w:w="2648"/>
          </w:tcPr>
          <w:p>
            <w:pPr>
              <w:jc w:val="right"/>
            </w:pPr>
            <w:r/>
            <w:r>
              <w:rPr>
                <w:rFonts w:ascii="Calibri" w:hAnsi="Calibri" w:eastAsia="Times New Roman" w:cs="Times New Roman"/>
                <w:sz w:val="19"/>
              </w:rPr>
              <w:t>216,993 (2,112 / 4,217)</w:t>
            </w:r>
          </w:p>
        </w:tc>
        <w:tc>
          <w:tcPr>
            <w:tcW w:type="dxa" w:w="2648"/>
          </w:tcPr>
          <w:p>
            <w:pPr>
              <w:jc w:val="right"/>
            </w:pPr>
            <w:r/>
            <w:r>
              <w:rPr>
                <w:rFonts w:ascii="Calibri" w:hAnsi="Calibri" w:eastAsia="Times New Roman" w:cs="Times New Roman"/>
                <w:sz w:val="19"/>
              </w:rPr>
              <w:t>0.3334</w:t>
            </w:r>
          </w:p>
        </w:tc>
        <w:tc>
          <w:tcPr>
            <w:tcW w:type="dxa" w:w="2648"/>
          </w:tcPr>
          <w:p>
            <w:r/>
            <w:r>
              <w:rPr>
                <w:rFonts w:ascii="Calibri" w:hAnsi="Calibri" w:eastAsia="Times New Roman" w:cs="Times New Roman"/>
                <w:sz w:val="19"/>
              </w:rPr>
              <w:t>k = 4</w:t>
            </w:r>
          </w:p>
        </w:tc>
        <w:tc>
          <w:tcPr>
            <w:tcW w:type="dxa" w:w="2648"/>
          </w:tcPr>
          <w:p>
            <w:pPr>
              <w:jc w:val="right"/>
            </w:pPr>
            <w:r/>
            <w:r>
              <w:rPr>
                <w:rFonts w:ascii="Calibri" w:hAnsi="Calibri" w:eastAsia="Times New Roman" w:cs="Times New Roman"/>
                <w:sz w:val="19"/>
              </w:rPr>
              <w:t>80%</w:t>
            </w:r>
          </w:p>
        </w:tc>
      </w:tr>
      <w:tr>
        <w:tc>
          <w:tcPr>
            <w:tcW w:type="dxa" w:w="2648"/>
          </w:tcPr>
          <w:p>
            <w:r/>
            <w:r>
              <w:rPr>
                <w:rFonts w:ascii="Calibri" w:hAnsi="Calibri" w:eastAsia="Times New Roman" w:cs="Times New Roman"/>
                <w:sz w:val="19"/>
              </w:rPr>
              <w:t>No-help items</w:t>
            </w:r>
          </w:p>
        </w:tc>
        <w:tc>
          <w:tcPr>
            <w:tcW w:type="dxa" w:w="2648"/>
          </w:tcPr>
          <w:p>
            <w:pPr>
              <w:jc w:val="right"/>
            </w:pPr>
            <w:r/>
            <w:r>
              <w:rPr>
                <w:rFonts w:ascii="Calibri" w:hAnsi="Calibri" w:eastAsia="Times New Roman" w:cs="Times New Roman"/>
                <w:sz w:val="19"/>
              </w:rPr>
              <w:t>231,125 (2,021 / 4,106)</w:t>
            </w:r>
          </w:p>
        </w:tc>
        <w:tc>
          <w:tcPr>
            <w:tcW w:type="dxa" w:w="2648"/>
          </w:tcPr>
          <w:p>
            <w:pPr>
              <w:jc w:val="right"/>
            </w:pPr>
            <w:r/>
            <w:r>
              <w:rPr>
                <w:rFonts w:ascii="Calibri" w:hAnsi="Calibri" w:eastAsia="Times New Roman" w:cs="Times New Roman"/>
                <w:sz w:val="19"/>
              </w:rPr>
              <w:t>0.2183</w:t>
            </w:r>
          </w:p>
        </w:tc>
        <w:tc>
          <w:tcPr>
            <w:tcW w:type="dxa" w:w="2648"/>
          </w:tcPr>
          <w:p>
            <w:r/>
            <w:r>
              <w:rPr>
                <w:rFonts w:ascii="Calibri" w:hAnsi="Calibri" w:eastAsia="Times New Roman" w:cs="Times New Roman"/>
                <w:sz w:val="19"/>
              </w:rPr>
              <w:t>k = 3</w:t>
            </w:r>
          </w:p>
        </w:tc>
        <w:tc>
          <w:tcPr>
            <w:tcW w:type="dxa" w:w="2648"/>
          </w:tcPr>
          <w:p>
            <w:pPr>
              <w:jc w:val="right"/>
            </w:pPr>
            <w:r/>
            <w:r>
              <w:rPr>
                <w:rFonts w:ascii="Calibri" w:hAnsi="Calibri" w:eastAsia="Times New Roman" w:cs="Times New Roman"/>
                <w:sz w:val="19"/>
              </w:rPr>
              <w:t>85%</w:t>
            </w:r>
          </w:p>
        </w:tc>
      </w:tr>
    </w:tbl>
    <w:p/>
    <w:p>
      <w:pPr>
        <w:spacing w:after="120"/>
      </w:pPr>
      <w:r>
        <w:rPr>
          <w:rFonts w:ascii="Calibri" w:hAnsi="Calibri" w:eastAsia="Times New Roman" w:cs="Times New Roman"/>
          <w:sz w:val="21"/>
        </w:rPr>
        <w:t xml:space="preserve">Two readings are conservative and important. A large number of learning windows sit in the "overly difficult" region: the mean error rate 0.3511 is far above any version of an optimal value and the median 0.30 (success 70%) likewise; only 26.40% of windows fall in success 80–90% and 19.64% in 80–85%. And the mode is </w:t>
      </w:r>
      <w:r>
        <w:rPr>
          <w:rFonts w:ascii="Calibri" w:hAnsi="Calibri" w:eastAsia="Times New Roman" w:cs="Times New Roman"/>
          <w:b/>
          <w:sz w:val="21"/>
        </w:rPr>
        <w:t>not</w:t>
      </w:r>
      <w:r>
        <w:rPr>
          <w:rFonts w:ascii="Calibri" w:hAnsi="Calibri" w:eastAsia="Times New Roman" w:cs="Times New Roman"/>
          <w:sz w:val="21"/>
        </w:rPr>
        <w:t xml:space="preserve"> in the 80–85% band: the single most frequent value is 75% success, and with 2,000 student-level resamples its 95% set is {0.25, 0.20} (k = 5 at 94.1%, k = 4 at 5.95%) — 0.25 is the modal support point but it is </w:t>
      </w:r>
      <w:r>
        <w:rPr>
          <w:rFonts w:ascii="Calibri" w:hAnsi="Calibri" w:eastAsia="Times New Roman" w:cs="Times New Roman"/>
          <w:b/>
          <w:sz w:val="21"/>
        </w:rPr>
        <w:t>not unique at the 95% threshold</w:t>
      </w:r>
      <w:r>
        <w:rPr>
          <w:rFonts w:ascii="Calibri" w:hAnsi="Calibri" w:eastAsia="Times New Roman" w:cs="Times New Roman"/>
          <w:sz w:val="21"/>
        </w:rPr>
        <w:t xml:space="preserve">. This is a distribution of </w:t>
      </w:r>
      <w:r>
        <w:rPr>
          <w:rFonts w:ascii="Calibri" w:hAnsi="Calibri" w:eastAsia="Times New Roman" w:cs="Times New Roman"/>
          <w:b/>
          <w:sz w:val="21"/>
        </w:rPr>
        <w:t>experienced difficulty</w:t>
      </w:r>
      <w:r>
        <w:rPr>
          <w:rFonts w:ascii="Calibri" w:hAnsi="Calibri" w:eastAsia="Times New Roman" w:cs="Times New Roman"/>
          <w:sz w:val="21"/>
        </w:rPr>
        <w:t xml:space="preserve">, not a test of any candidate optimal value: about whether the 85% rule or the 80.7% value holds for real learners, this paper can say nothing. What the distribution does refute is a narrower </w:t>
      </w:r>
      <w:r>
        <w:rPr>
          <w:rFonts w:ascii="Calibri" w:hAnsi="Calibri" w:eastAsia="Times New Roman" w:cs="Times New Roman"/>
          <w:i/>
          <w:sz w:val="21"/>
        </w:rPr>
        <w:t>descriptive</w:t>
      </w:r>
      <w:r>
        <w:rPr>
          <w:rFonts w:ascii="Calibri" w:hAnsi="Calibri" w:eastAsia="Times New Roman" w:cs="Times New Roman"/>
          <w:sz w:val="21"/>
        </w:rPr>
        <w:t xml:space="preserve"> claim — that the mode falls in the 80–85% success band — since the single most frequent value is 0.25 (75% success), and only 19.64% of windows fall in that band. </w:t>
      </w:r>
      <w:r>
        <w:rPr>
          <w:rFonts w:ascii="Calibri" w:hAnsi="Calibri" w:eastAsia="Times New Roman" w:cs="Times New Roman"/>
          <w:b/>
          <w:sz w:val="21"/>
        </w:rPr>
        <w:t>The mode is not the optimum, and the RQ2 decision rule is abolished (review §3.3, 2026-09-29).</w:t>
      </w:r>
      <w:r>
        <w:rPr>
          <w:rFonts w:ascii="Calibri" w:hAnsi="Calibri" w:eastAsia="Times New Roman" w:cs="Times New Roman"/>
          <w:sz w:val="21"/>
        </w:rPr>
        <w:t xml:space="preserve"> The most common speed on a motorway is 100 km/h, which does not show that 100 km/h is the most fuel-efficient — only that people drive that way; likewise this distribution is the distribution of </w:t>
      </w:r>
      <w:r>
        <w:rPr>
          <w:rFonts w:ascii="Calibri" w:hAnsi="Calibri" w:eastAsia="Times New Roman" w:cs="Times New Roman"/>
          <w:b/>
          <w:sz w:val="21"/>
        </w:rPr>
        <w:t>experienced difficulty</w:t>
      </w:r>
      <w:r>
        <w:rPr>
          <w:rFonts w:ascii="Calibri" w:hAnsi="Calibri" w:eastAsia="Times New Roman" w:cs="Times New Roman"/>
          <w:sz w:val="21"/>
        </w:rPr>
        <w:t xml:space="preserve"> jointly produced by the item-allocation policy and student ability. The first two ranks differ by only </w:t>
      </w:r>
      <w:r>
        <w:rPr>
          <w:rFonts w:ascii="Calibri" w:hAnsi="Calibri" w:eastAsia="Times New Roman" w:cs="Times New Roman"/>
          <w:b/>
          <w:sz w:val="21"/>
        </w:rPr>
        <w:t>838 windows (0.29% of the total)</w:t>
      </w:r>
      <w:r>
        <w:rPr>
          <w:rFonts w:ascii="Calibri" w:hAnsi="Calibri" w:eastAsia="Times New Roman" w:cs="Times New Roman"/>
          <w:sz w:val="21"/>
        </w:rPr>
        <w:t xml:space="preserve"> and the five support points spanning error rates 0.15–0.35 carry </w:t>
      </w:r>
      <w:r>
        <w:rPr>
          <w:rFonts w:ascii="Calibri" w:hAnsi="Calibri" w:eastAsia="Times New Roman" w:cs="Times New Roman"/>
          <w:b/>
          <w:sz w:val="21"/>
        </w:rPr>
        <w:t>49.3%</w:t>
      </w:r>
      <w:r>
        <w:rPr>
          <w:rFonts w:ascii="Calibri" w:hAnsi="Calibri" w:eastAsia="Times New Roman" w:cs="Times New Roman"/>
          <w:sz w:val="21"/>
        </w:rPr>
        <w:t xml:space="preserve"> of all windows almost flatly, so the reported object of this section is the </w:t>
      </w:r>
      <w:r>
        <w:rPr>
          <w:rFonts w:ascii="Calibri" w:hAnsi="Calibri" w:eastAsia="Times New Roman" w:cs="Times New Roman"/>
          <w:b/>
          <w:sz w:val="21"/>
        </w:rPr>
        <w:t>shape</w:t>
      </w:r>
      <w:r>
        <w:rPr>
          <w:rFonts w:ascii="Calibri" w:hAnsi="Calibri" w:eastAsia="Times New Roman" w:cs="Times New Roman"/>
          <w:sz w:val="21"/>
        </w:rPr>
        <w:t xml:space="preserve"> of the distribution, not the position of the mode. The former RQ2 falsification conditions (deviation of the mode from [0.15, 0.20]; exclusion of 0.1587 and 0.193 from the confidence set) </w:t>
      </w:r>
      <w:r>
        <w:rPr>
          <w:rFonts w:ascii="Calibri" w:hAnsi="Calibri" w:eastAsia="Times New Roman" w:cs="Times New Roman"/>
          <w:b/>
          <w:sz w:val="21"/>
        </w:rPr>
        <w:t>are abolished</w:t>
      </w:r>
      <w:r>
        <w:rPr>
          <w:rFonts w:ascii="Calibri" w:hAnsi="Calibri" w:eastAsia="Times New Roman" w:cs="Times New Roman"/>
          <w:sz w:val="21"/>
        </w:rPr>
        <w:t xml:space="preserve">: the support points are only multiples of 0.05, so 0.1587 and 0.193 could never have entered the set — the rule tests the discreteness of the support grid, not the optimal error rate. Per review §3.3 the bootstrap has been raised to </w:t>
      </w:r>
      <w:r>
        <w:rPr>
          <w:rFonts w:ascii="Calibri" w:hAnsi="Calibri" w:eastAsia="Times New Roman" w:cs="Times New Roman"/>
          <w:b/>
          <w:sz w:val="21"/>
        </w:rPr>
        <w:t>2,000</w:t>
      </w:r>
      <w:r>
        <w:rPr>
          <w:rFonts w:ascii="Calibri" w:hAnsi="Calibri" w:eastAsia="Times New Roman" w:cs="Times New Roman"/>
          <w:sz w:val="21"/>
        </w:rPr>
        <w:t xml:space="preserve"> resamples (</w:t>
      </w:r>
      <w:r>
        <w:rPr>
          <w:rFonts w:ascii="Consolas" w:hAnsi="Consolas" w:eastAsia="Times New Roman" w:cs="Times New Roman"/>
          <w:sz w:val="21"/>
        </w:rPr>
        <w:t>BOOT</w:t>
      </w:r>
      <w:r>
        <w:rPr>
          <w:rFonts w:ascii="Calibri" w:hAnsi="Calibri" w:eastAsia="Times New Roman" w:cs="Times New Roman"/>
          <w:sz w:val="21"/>
        </w:rPr>
        <w:t xml:space="preserve"> = 2000 in </w:t>
      </w:r>
      <w:r>
        <w:rPr>
          <w:rFonts w:ascii="Consolas" w:hAnsi="Consolas" w:eastAsia="Times New Roman" w:cs="Times New Roman"/>
          <w:sz w:val="21"/>
        </w:rPr>
        <w:t>results/code/m1_real_data.py</w:t>
      </w:r>
      <w:r>
        <w:rPr>
          <w:rFonts w:ascii="Calibri" w:hAnsi="Calibri" w:eastAsia="Times New Roman" w:cs="Times New Roman"/>
          <w:sz w:val="21"/>
        </w:rPr>
        <w:t xml:space="preserve">; rerun on the assist09 source data on 2026-10-04, seed 20260922): k = 5 now occupies 94.1% and k = 4 5.95%, giving a 95% set of </w:t>
      </w:r>
      <w:r>
        <w:rPr>
          <w:rFonts w:ascii="Calibri" w:hAnsi="Calibri" w:eastAsia="Times New Roman" w:cs="Times New Roman"/>
          <w:b/>
          <w:sz w:val="21"/>
        </w:rPr>
        <w:t>{0.25, 0.20}</w:t>
      </w:r>
      <w:r>
        <w:rPr>
          <w:rFonts w:ascii="Calibri" w:hAnsi="Calibri" w:eastAsia="Times New Roman" w:cs="Times New Roman"/>
          <w:sz w:val="21"/>
        </w:rPr>
        <w:t xml:space="preserve"> with Monte Carlo standard error ≈ 0.5 percentage points. The increase </w:t>
      </w:r>
      <w:r>
        <w:rPr>
          <w:rFonts w:ascii="Calibri" w:hAnsi="Calibri" w:eastAsia="Times New Roman" w:cs="Times New Roman"/>
          <w:b/>
          <w:sz w:val="21"/>
        </w:rPr>
        <w:t>removed uniqueness at the 95% threshold</w:t>
      </w:r>
      <w:r>
        <w:rPr>
          <w:rFonts w:ascii="Calibri" w:hAnsi="Calibri" w:eastAsia="Times New Roman" w:cs="Times New Roman"/>
          <w:sz w:val="21"/>
        </w:rPr>
        <w:t xml:space="preserve"> — the 200-resample record put k = 5 at 95.5% (SE ≈ 1.5 pp), just above the line; 2,000 resamples put it at 94.1%, below it — which is why the reported object here is the shape of the distribution (49.3% near-flat over 0.15–0.35; 838 windows, 0.29%, between the top two ranks) rather than the position of the mode. Wilson et al.'s optimal error rate under Cauchy noise happens also to be 0.25; </w:t>
      </w:r>
      <w:r>
        <w:rPr>
          <w:rFonts w:ascii="Calibri" w:hAnsi="Calibri" w:eastAsia="Times New Roman" w:cs="Times New Roman"/>
          <w:b/>
          <w:sz w:val="21"/>
        </w:rPr>
        <w:t>this paper claims nothing from that coincidence.</w:t>
      </w:r>
    </w:p>
    <w:p>
      <w:pPr>
        <w:pStyle w:val="Heading2"/>
        <w:spacing w:before="120" w:after="80"/>
      </w:pPr>
      <w:r>
        <w:rPr>
          <w:rFonts w:ascii="Calibri" w:hAnsi="Calibri" w:eastAsia="Times New Roman" w:cs="Times New Roman"/>
          <w:sz w:val="27"/>
        </w:rPr>
        <w:t>8.2 The causal side — removed from this paper</w:t>
      </w:r>
    </w:p>
    <w:p>
      <w:pPr>
        <w:spacing w:after="120"/>
      </w:pPr>
      <w:r>
        <w:rPr>
          <w:rFonts w:ascii="Calibri" w:hAnsi="Calibri" w:eastAsia="Times New Roman" w:cs="Times New Roman"/>
          <w:sz w:val="21"/>
        </w:rPr>
        <w:t xml:space="preserve">The preregistered AIPW/DR dose–response analysis was executed on 2026-09-24. </w:t>
      </w:r>
      <w:r>
        <w:rPr>
          <w:rFonts w:ascii="Calibri" w:hAnsi="Calibri" w:eastAsia="Times New Roman" w:cs="Times New Roman"/>
          <w:b/>
          <w:sz w:val="21"/>
        </w:rPr>
        <w:t>It did not pass the preregistered positive-control criterion, and its implementation differs from the frozen protocol document in four places; its results are therefore not interpretable, and this paper makes no confirmatory reading of them.</w:t>
      </w:r>
      <w:r>
        <w:rPr>
          <w:rFonts w:ascii="Calibri" w:hAnsi="Calibri" w:eastAsia="Times New Roman" w:cs="Times New Roman"/>
          <w:sz w:val="21"/>
        </w:rPr>
        <w:t xml:space="preserve"> Accordingly the causal side (the corresponding sections and hypotheses H4 and H5) has been </w:t>
      </w:r>
      <w:r>
        <w:rPr>
          <w:rFonts w:ascii="Calibri" w:hAnsi="Calibri" w:eastAsia="Times New Roman" w:cs="Times New Roman"/>
          <w:b/>
          <w:sz w:val="21"/>
        </w:rPr>
        <w:t>removed from this paper</w:t>
      </w:r>
      <w:r>
        <w:rPr>
          <w:rFonts w:ascii="Calibri" w:hAnsi="Calibri" w:eastAsia="Times New Roman" w:cs="Times New Roman"/>
          <w:sz w:val="21"/>
        </w:rPr>
        <w:t xml:space="preserve"> and transferred to a separate fourth paper, listed as row 4 of the research-plan §7.1 table. A second version of the identification strategy must be committed and tagged before any re-execution; until then this paper makes no causal claim about the optimal error rate.</w:t>
      </w:r>
    </w:p>
    <w:p>
      <w:pPr>
        <w:spacing w:after="120"/>
      </w:pPr>
      <w:r>
        <w:rPr>
          <w:rFonts w:ascii="Calibri" w:hAnsi="Calibri" w:eastAsia="Times New Roman" w:cs="Times New Roman"/>
          <w:b/>
          <w:sz w:val="21"/>
        </w:rPr>
        <w:t>Table 9. Status of the seven preregistered hypotheses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Times New Roman" w:cs="Times New Roman"/>
                <w:b/>
                <w:sz w:val="19"/>
              </w:rPr>
              <w:t>Hypothesis</w:t>
            </w:r>
          </w:p>
        </w:tc>
        <w:tc>
          <w:tcPr>
            <w:tcW w:type="dxa" w:w="6620"/>
            <w:shd w:val="clear" w:color="auto" w:fill="DDDDDD"/>
          </w:tcPr>
          <w:p>
            <w:r>
              <w:rPr>
                <w:b/>
              </w:rPr>
            </w:r>
            <w:r>
              <w:rPr>
                <w:rFonts w:ascii="Calibri" w:hAnsi="Calibri" w:eastAsia="Times New Roman" w:cs="Times New Roman"/>
                <w:b/>
                <w:sz w:val="19"/>
              </w:rPr>
              <w:t>Status</w:t>
            </w:r>
          </w:p>
        </w:tc>
      </w:tr>
      <w:tr>
        <w:tc>
          <w:tcPr>
            <w:tcW w:type="dxa" w:w="6620"/>
          </w:tcPr>
          <w:p>
            <w:r/>
            <w:r>
              <w:rPr>
                <w:rFonts w:ascii="Calibri" w:hAnsi="Calibri" w:eastAsia="Times New Roman" w:cs="Times New Roman"/>
                <w:sz w:val="19"/>
              </w:rPr>
              <w:t>H1 Linear fusion unstable under monotone reparameterisation</w:t>
            </w:r>
          </w:p>
        </w:tc>
        <w:tc>
          <w:tcPr>
            <w:tcW w:type="dxa" w:w="6620"/>
          </w:tcPr>
          <w:p>
            <w:r/>
            <w:r>
              <w:rPr>
                <w:rFonts w:ascii="Calibri" w:hAnsi="Calibri" w:eastAsia="Times New Roman" w:cs="Times New Roman"/>
                <w:b/>
                <w:sz w:val="19"/>
              </w:rPr>
              <w:t>Tested and holds</w:t>
            </w:r>
            <w:r>
              <w:rPr>
                <w:rFonts w:ascii="Calibri" w:hAnsi="Calibri" w:eastAsia="Times New Roman" w:cs="Times New Roman"/>
                <w:sz w:val="19"/>
              </w:rPr>
              <w:t xml:space="preserve"> (§4 synthetic, §5.3 real)</w:t>
            </w:r>
          </w:p>
        </w:tc>
      </w:tr>
      <w:tr>
        <w:tc>
          <w:tcPr>
            <w:tcW w:type="dxa" w:w="6620"/>
          </w:tcPr>
          <w:p>
            <w:r/>
            <w:r>
              <w:rPr>
                <w:rFonts w:ascii="Calibri" w:hAnsi="Calibri" w:eastAsia="Times New Roman" w:cs="Times New Roman"/>
                <w:sz w:val="19"/>
              </w:rPr>
              <w:t>H2 Unified scale improves calibration quality</w:t>
            </w:r>
          </w:p>
        </w:tc>
        <w:tc>
          <w:tcPr>
            <w:tcW w:type="dxa" w:w="6620"/>
          </w:tcPr>
          <w:p>
            <w:r/>
            <w:r>
              <w:rPr>
                <w:rFonts w:ascii="Calibri" w:hAnsi="Calibri" w:eastAsia="Times New Roman" w:cs="Times New Roman"/>
                <w:b/>
                <w:sz w:val="19"/>
              </w:rPr>
              <w:t>Partial</w:t>
            </w:r>
            <w:r>
              <w:rPr>
                <w:rFonts w:ascii="Calibri" w:hAnsi="Calibri" w:eastAsia="Times New Roman" w:cs="Times New Roman"/>
                <w:sz w:val="19"/>
              </w:rPr>
              <w:t>: ECE/Brier/target-hit rate not computed; criterion changed to expert-label consistency</w:t>
            </w:r>
          </w:p>
        </w:tc>
      </w:tr>
      <w:tr>
        <w:tc>
          <w:tcPr>
            <w:tcW w:type="dxa" w:w="6620"/>
          </w:tcPr>
          <w:p>
            <w:r/>
            <w:r>
              <w:rPr>
                <w:rFonts w:ascii="Calibri" w:hAnsi="Calibri" w:eastAsia="Times New Roman" w:cs="Times New Roman"/>
                <w:sz w:val="19"/>
              </w:rPr>
              <w:t>H3 Stable ordering of four-source calibration error</w:t>
            </w:r>
          </w:p>
        </w:tc>
        <w:tc>
          <w:tcPr>
            <w:tcW w:type="dxa" w:w="6620"/>
          </w:tcPr>
          <w:p>
            <w:r/>
            <w:r>
              <w:rPr>
                <w:rFonts w:ascii="Calibri" w:hAnsi="Calibri" w:eastAsia="Times New Roman" w:cs="Times New Roman"/>
                <w:b/>
                <w:sz w:val="19"/>
              </w:rPr>
              <w:t>Not executed</w:t>
            </w:r>
            <w:r>
              <w:rPr>
                <w:rFonts w:ascii="Calibri" w:hAnsi="Calibri" w:eastAsia="Times New Roman" w:cs="Times New Roman"/>
                <w:sz w:val="19"/>
              </w:rPr>
              <w:t xml:space="preserve"> (real source set differs; ECE not computed)</w:t>
            </w:r>
          </w:p>
        </w:tc>
      </w:tr>
      <w:tr>
        <w:tc>
          <w:tcPr>
            <w:tcW w:type="dxa" w:w="6620"/>
          </w:tcPr>
          <w:p>
            <w:r/>
            <w:r>
              <w:rPr>
                <w:rFonts w:ascii="Calibri" w:hAnsi="Calibri" w:eastAsia="Times New Roman" w:cs="Times New Roman"/>
                <w:sz w:val="19"/>
              </w:rPr>
              <w:t>H4 Optimal error rate significantly above 15.87%</w:t>
            </w:r>
          </w:p>
        </w:tc>
        <w:tc>
          <w:tcPr>
            <w:tcW w:type="dxa" w:w="6620"/>
          </w:tcPr>
          <w:p>
            <w:r/>
            <w:r>
              <w:rPr>
                <w:rFonts w:ascii="Calibri" w:hAnsi="Calibri" w:eastAsia="Times New Roman" w:cs="Times New Roman"/>
                <w:b/>
                <w:sz w:val="19"/>
              </w:rPr>
              <w:t>Removed from this paper</w:t>
            </w:r>
            <w:r>
              <w:rPr>
                <w:rFonts w:ascii="Calibri" w:hAnsi="Calibri" w:eastAsia="Times New Roman" w:cs="Times New Roman"/>
                <w:sz w:val="19"/>
              </w:rPr>
              <w:t xml:space="preserve"> — transferred to the fourth paper (§8.2)</w:t>
            </w:r>
          </w:p>
        </w:tc>
      </w:tr>
      <w:tr>
        <w:tc>
          <w:tcPr>
            <w:tcW w:type="dxa" w:w="6620"/>
          </w:tcPr>
          <w:p>
            <w:r/>
            <w:r>
              <w:rPr>
                <w:rFonts w:ascii="Calibri" w:hAnsi="Calibri" w:eastAsia="Times New Roman" w:cs="Times New Roman"/>
                <w:sz w:val="19"/>
              </w:rPr>
              <w:t>H5 Dose–response curve non-monotone</w:t>
            </w:r>
          </w:p>
        </w:tc>
        <w:tc>
          <w:tcPr>
            <w:tcW w:type="dxa" w:w="6620"/>
          </w:tcPr>
          <w:p>
            <w:r/>
            <w:r>
              <w:rPr>
                <w:rFonts w:ascii="Calibri" w:hAnsi="Calibri" w:eastAsia="Times New Roman" w:cs="Times New Roman"/>
                <w:b/>
                <w:sz w:val="19"/>
              </w:rPr>
              <w:t>Removed from this paper</w:t>
            </w:r>
            <w:r>
              <w:rPr>
                <w:rFonts w:ascii="Calibri" w:hAnsi="Calibri" w:eastAsia="Times New Roman" w:cs="Times New Roman"/>
                <w:sz w:val="19"/>
              </w:rPr>
              <w:t xml:space="preserve"> — transferred to the fourth paper (§8.2)</w:t>
            </w:r>
          </w:p>
        </w:tc>
      </w:tr>
      <w:tr>
        <w:tc>
          <w:tcPr>
            <w:tcW w:type="dxa" w:w="6620"/>
          </w:tcPr>
          <w:p>
            <w:r/>
            <w:r>
              <w:rPr>
                <w:rFonts w:ascii="Calibri" w:hAnsi="Calibri" w:eastAsia="Times New Roman" w:cs="Times New Roman"/>
                <w:sz w:val="19"/>
              </w:rPr>
              <w:t>H6 Effect-decay ordering of the five premises</w:t>
            </w:r>
          </w:p>
        </w:tc>
        <w:tc>
          <w:tcPr>
            <w:tcW w:type="dxa" w:w="6620"/>
          </w:tcPr>
          <w:p>
            <w:r/>
            <w:r>
              <w:rPr>
                <w:rFonts w:ascii="Calibri" w:hAnsi="Calibri" w:eastAsia="Times New Roman" w:cs="Times New Roman"/>
                <w:b/>
                <w:sz w:val="19"/>
              </w:rPr>
              <w:t>Partial</w:t>
            </w:r>
            <w:r>
              <w:rPr>
                <w:rFonts w:ascii="Calibri" w:hAnsi="Calibri" w:eastAsia="Times New Roman" w:cs="Times New Roman"/>
                <w:sz w:val="19"/>
              </w:rPr>
              <w:t xml:space="preserve"> — exploratory strata unestimable (each n &lt; 3000)</w:t>
            </w:r>
          </w:p>
        </w:tc>
      </w:tr>
      <w:tr>
        <w:tc>
          <w:tcPr>
            <w:tcW w:type="dxa" w:w="6620"/>
          </w:tcPr>
          <w:p>
            <w:r/>
            <w:r>
              <w:rPr>
                <w:rFonts w:ascii="Calibri" w:hAnsi="Calibri" w:eastAsia="Times New Roman" w:cs="Times New Roman"/>
                <w:sz w:val="19"/>
              </w:rPr>
              <w:t>H7 Optimal-interval heterogeneity by ability</w:t>
            </w:r>
          </w:p>
        </w:tc>
        <w:tc>
          <w:tcPr>
            <w:tcW w:type="dxa" w:w="6620"/>
          </w:tcPr>
          <w:p>
            <w:r/>
            <w:r>
              <w:rPr>
                <w:rFonts w:ascii="Calibri" w:hAnsi="Calibri" w:eastAsia="Times New Roman" w:cs="Times New Roman"/>
                <w:b/>
                <w:sz w:val="19"/>
              </w:rPr>
              <w:t>Not executed</w:t>
            </w:r>
          </w:p>
        </w:tc>
      </w:tr>
      <w:tr>
        <w:tc>
          <w:tcPr>
            <w:tcW w:type="dxa" w:w="6620"/>
          </w:tcPr>
          <w:p>
            <w:r/>
            <w:r>
              <w:rPr>
                <w:rFonts w:ascii="Calibri" w:hAnsi="Calibri" w:eastAsia="Times New Roman" w:cs="Times New Roman"/>
                <w:sz w:val="19"/>
              </w:rPr>
              <w:t>Additional: knowledge tree is not difficulty order</w:t>
            </w:r>
          </w:p>
        </w:tc>
        <w:tc>
          <w:tcPr>
            <w:tcW w:type="dxa" w:w="6620"/>
          </w:tcPr>
          <w:p>
            <w:r/>
            <w:r>
              <w:rPr>
                <w:rFonts w:ascii="Calibri" w:hAnsi="Calibri" w:eastAsia="Times New Roman" w:cs="Times New Roman"/>
                <w:b/>
                <w:sz w:val="19"/>
              </w:rPr>
              <w:t>Completed</w:t>
            </w:r>
            <w:r>
              <w:rPr>
                <w:rFonts w:ascii="Calibri" w:hAnsi="Calibri" w:eastAsia="Times New Roman" w:cs="Times New Roman"/>
                <w:sz w:val="19"/>
              </w:rPr>
              <w:t xml:space="preserve"> (negative result, §5.4)</w:t>
            </w:r>
          </w:p>
        </w:tc>
      </w:tr>
    </w:tbl>
    <w:p/>
    <w:p>
      <w:pPr>
        <w:pStyle w:val="Heading1"/>
        <w:spacing w:before="200" w:after="80"/>
      </w:pPr>
      <w:r>
        <w:rPr>
          <w:rFonts w:ascii="Calibri" w:hAnsi="Calibri" w:eastAsia="Times New Roman" w:cs="Times New Roman"/>
          <w:sz w:val="32"/>
        </w:rPr>
        <w:t>9 Discussion</w:t>
      </w:r>
    </w:p>
    <w:p>
      <w:pPr>
        <w:spacing w:after="120"/>
      </w:pPr>
      <w:r>
        <w:rPr>
          <w:rFonts w:ascii="Calibri" w:hAnsi="Calibri" w:eastAsia="Times New Roman" w:cs="Times New Roman"/>
          <w:sz w:val="21"/>
        </w:rPr>
        <w:t xml:space="preserve">Three conclusions follow. </w:t>
      </w:r>
      <w:r>
        <w:rPr>
          <w:rFonts w:ascii="Calibri" w:hAnsi="Calibri" w:eastAsia="Times New Roman" w:cs="Times New Roman"/>
          <w:b/>
          <w:sz w:val="21"/>
        </w:rPr>
        <w:t>First, commensurability is an engineering property that can be repaired, not a philosophical stance</w:t>
      </w:r>
      <w:r>
        <w:rPr>
          <w:rFonts w:ascii="Calibri" w:hAnsi="Calibri" w:eastAsia="Times New Roman" w:cs="Times New Roman"/>
          <w:sz w:val="21"/>
        </w:rPr>
        <w:t xml:space="preserve">; the synthetic path (L1 0.1276 → 0, 36.4% reversal → 0%) and the real-data path (0.5357 → 0.0001) agree. </w:t>
      </w:r>
      <w:r>
        <w:rPr>
          <w:rFonts w:ascii="Calibri" w:hAnsi="Calibri" w:eastAsia="Times New Roman" w:cs="Times New Roman"/>
          <w:b/>
          <w:sz w:val="21"/>
        </w:rPr>
        <w:t>Second, an estimator's apparent quality depends entirely on the criterion</w:t>
      </w:r>
      <w:r>
        <w:rPr>
          <w:rFonts w:ascii="Calibri" w:hAnsi="Calibri" w:eastAsia="Times New Roman" w:cs="Times New Roman"/>
          <w:sz w:val="21"/>
        </w:rPr>
        <w:t xml:space="preserve">; agreement with expert labels is not evidence of decision value, and the same fusion that gains under the label criterion loses under held-out real performance. </w:t>
      </w:r>
      <w:r>
        <w:rPr>
          <w:rFonts w:ascii="Calibri" w:hAnsi="Calibri" w:eastAsia="Times New Roman" w:cs="Times New Roman"/>
          <w:b/>
          <w:sz w:val="21"/>
        </w:rPr>
        <w:t>Third, the deployable rule is conditional</w:t>
      </w:r>
      <w:r>
        <w:rPr>
          <w:rFonts w:ascii="Calibri" w:hAnsi="Calibri" w:eastAsia="Times New Roman" w:cs="Times New Roman"/>
          <w:sz w:val="21"/>
        </w:rPr>
        <w:t>: switch the metric to quantile logit unconditionally, then decide whether to enable multi-signal fusion by sample size, and before enabling it run a direct holdout validation. Part of these conclusions has landed in the studied system's code layer.</w:t>
      </w:r>
    </w:p>
    <w:p>
      <w:pPr>
        <w:spacing w:after="120"/>
      </w:pPr>
      <w:r>
        <w:rPr>
          <w:rFonts w:ascii="Calibri" w:hAnsi="Calibri" w:eastAsia="Times New Roman" w:cs="Times New Roman"/>
          <w:b/>
          <w:sz w:val="21"/>
        </w:rPr>
        <w:t>One practical recommendation.</w:t>
      </w:r>
      <w:r>
        <w:rPr>
          <w:rFonts w:ascii="Calibri" w:hAnsi="Calibri" w:eastAsia="Times New Roman" w:cs="Times New Roman"/>
          <w:sz w:val="21"/>
        </w:rPr>
        <w:t xml:space="preserve"> Synthesising the metric repair, the directional-error fix, the sample-size decay and the </w:t>
      </w:r>
      <w:r>
        <w:rPr>
          <w:rFonts w:ascii="Consolas" w:hAnsi="Consolas" w:eastAsia="Times New Roman" w:cs="Times New Roman"/>
          <w:sz w:val="21"/>
        </w:rPr>
        <w:t>srw7</w:t>
      </w:r>
      <w:r>
        <w:rPr>
          <w:rFonts w:ascii="Calibri" w:hAnsi="Calibri" w:eastAsia="Times New Roman" w:cs="Times New Roman"/>
          <w:sz w:val="21"/>
        </w:rPr>
        <w:t xml:space="preserve"> optimisation, our recommendation for a difficulty-fusion module is one sentence: </w:t>
      </w:r>
      <w:r>
        <w:rPr>
          <w:rFonts w:ascii="Calibri" w:hAnsi="Calibri" w:eastAsia="Times New Roman" w:cs="Times New Roman"/>
          <w:b/>
          <w:sz w:val="21"/>
        </w:rPr>
        <w:t>first switch the metric to quantile logit (unconditional), then decide whether to enable multi-signal fusion by sample size (conditional), and before enabling it run a direct holdout validation.</w:t>
      </w:r>
      <w:r>
        <w:rPr>
          <w:rFonts w:ascii="Calibri" w:hAnsi="Calibri" w:eastAsia="Times New Roman" w:cs="Times New Roman"/>
          <w:sz w:val="21"/>
        </w:rPr>
        <w:t xml:space="preserve"> The first step is free and removes the instability entirely; the second and third are necessary because the fusion gain is real but criterion-dependent and vanishes as evidence accumulates.</w:t>
      </w:r>
    </w:p>
    <w:p>
      <w:pPr>
        <w:spacing w:after="120"/>
      </w:pPr>
      <w:r>
        <w:rPr>
          <w:rFonts w:ascii="Calibri" w:hAnsi="Calibri" w:eastAsia="Times New Roman" w:cs="Times New Roman"/>
          <w:b/>
          <w:sz w:val="21"/>
        </w:rPr>
        <w:t>Landed code changes.</w:t>
      </w:r>
      <w:r>
        <w:rPr>
          <w:rFonts w:ascii="Calibri" w:hAnsi="Calibri" w:eastAsia="Times New Roman" w:cs="Times New Roman"/>
          <w:sz w:val="21"/>
        </w:rPr>
        <w:t xml:space="preserve"> Part of these conclusions has landed in the studied system's code layer in three places: the quantile-logit metric switch, the removal of the directionally wrong upgrade-rate signal, and the sample-size-adaptive shrinkage rule—the first two covered by regression tests and the third by an external verification script. We report this as evidence that the conclusions are actionable at the engineering level, not as evidence of their external validity.</w:t>
      </w:r>
    </w:p>
    <w:p>
      <w:pPr>
        <w:pStyle w:val="Heading1"/>
        <w:spacing w:before="200" w:after="80"/>
      </w:pPr>
      <w:r>
        <w:rPr>
          <w:rFonts w:ascii="Calibri" w:hAnsi="Calibri" w:eastAsia="Times New Roman" w:cs="Times New Roman"/>
          <w:sz w:val="32"/>
        </w:rPr>
        <w:t>10 Honest Gap Inventory</w:t>
      </w:r>
    </w:p>
    <w:p>
      <w:pPr>
        <w:pStyle w:val="ListNumber"/>
        <w:spacing w:after="40"/>
      </w:pPr>
      <w:r>
        <w:rPr>
          <w:rFonts w:ascii="Calibri" w:hAnsi="Calibri" w:eastAsia="Times New Roman" w:cs="Times New Roman"/>
          <w:b/>
          <w:sz w:val="21"/>
        </w:rPr>
        <w:t>Causal side removed from this paper (review §2.2, 2026-09-29)</w:t>
      </w:r>
      <w:r>
        <w:rPr>
          <w:rFonts w:ascii="Calibri" w:hAnsi="Calibri" w:eastAsia="Times New Roman" w:cs="Times New Roman"/>
          <w:sz w:val="21"/>
        </w:rPr>
        <w:t>: the preregistered AIPW/DR dose–response analysis was executed on 2026-09-24, but it did not pass the positive-control criterion and its implementation differs from the frozen protocol document; its results are not interpretable and this paper makes no confirmatory reading of them. The causal side has been transferred to the fourth paper (see §8.2).</w:t>
      </w:r>
    </w:p>
    <w:p>
      <w:pPr>
        <w:pStyle w:val="ListNumber"/>
        <w:spacing w:after="40"/>
      </w:pPr>
      <w:r>
        <w:rPr>
          <w:rFonts w:ascii="Calibri" w:hAnsi="Calibri" w:eastAsia="Times New Roman" w:cs="Times New Roman"/>
          <w:b/>
          <w:sz w:val="21"/>
        </w:rPr>
        <w:t>Uneven preregistration fulfilment</w:t>
      </w:r>
      <w:r>
        <w:rPr>
          <w:rFonts w:ascii="Calibri" w:hAnsi="Calibri" w:eastAsia="Times New Roman" w:cs="Times New Roman"/>
          <w:sz w:val="21"/>
        </w:rPr>
        <w:t>: H3 and H7 not executed; H2's criterion changed (ECE/Brier/85% target-hit rate not computed); H6 only partially executed (exploratory strata each n &lt; 3000, unestimable).</w:t>
      </w:r>
    </w:p>
    <w:p>
      <w:pPr>
        <w:pStyle w:val="ListNumber"/>
        <w:spacing w:after="40"/>
      </w:pPr>
      <w:r>
        <w:rPr>
          <w:rFonts w:ascii="Calibri" w:hAnsi="Calibri" w:eastAsia="Times New Roman" w:cs="Times New Roman"/>
          <w:b/>
          <w:sz w:val="21"/>
        </w:rPr>
        <w:t>Gain decays with sample size</w:t>
      </w:r>
      <w:r>
        <w:rPr>
          <w:rFonts w:ascii="Calibri" w:hAnsi="Calibri" w:eastAsia="Times New Roman" w:cs="Times New Roman"/>
          <w:sz w:val="21"/>
        </w:rPr>
        <w:t xml:space="preserve">: under </w:t>
      </w:r>
      <w:r>
        <w:rPr>
          <w:rFonts w:ascii="Consolas" w:hAnsi="Consolas" w:eastAsia="Times New Roman" w:cs="Times New Roman"/>
          <w:sz w:val="21"/>
        </w:rPr>
        <w:t>srw7</w:t>
      </w:r>
      <w:r>
        <w:rPr>
          <w:rFonts w:ascii="Calibri" w:hAnsi="Calibri" w:eastAsia="Times New Roman" w:cs="Times New Roman"/>
          <w:sz w:val="21"/>
        </w:rPr>
        <w:t xml:space="preserve"> the student-level gain is +0.335 pp at k = 100 and +0.102 pp at k = 200, i.e. negligible for mature item banks.</w:t>
      </w:r>
    </w:p>
    <w:p>
      <w:pPr>
        <w:pStyle w:val="ListNumber"/>
        <w:spacing w:after="40"/>
      </w:pPr>
      <w:r>
        <w:rPr>
          <w:rFonts w:ascii="Calibri" w:hAnsi="Calibri" w:eastAsia="Times New Roman" w:cs="Times New Roman"/>
          <w:b/>
          <w:sz w:val="21"/>
        </w:rPr>
        <w:t>Synthetic boundary</w:t>
      </w:r>
      <w:r>
        <w:rPr>
          <w:rFonts w:ascii="Calibri" w:hAnsi="Calibri" w:eastAsia="Times New Roman" w:cs="Times New Roman"/>
          <w:sz w:val="21"/>
        </w:rPr>
        <w:t>: four sources sharing one latent variable is the most favourable case for commensurability, so the synthetic failure is a lower bound on severity.</w:t>
      </w:r>
    </w:p>
    <w:p>
      <w:pPr>
        <w:pStyle w:val="ListNumber"/>
        <w:spacing w:after="40"/>
      </w:pPr>
      <w:r>
        <w:rPr>
          <w:rFonts w:ascii="Calibri" w:hAnsi="Calibri" w:eastAsia="Times New Roman" w:cs="Times New Roman"/>
          <w:b/>
          <w:sz w:val="21"/>
        </w:rPr>
        <w:t>Source-set mismatch</w:t>
      </w:r>
      <w:r>
        <w:rPr>
          <w:rFonts w:ascii="Calibri" w:hAnsi="Calibri" w:eastAsia="Times New Roman" w:cs="Times New Roman"/>
          <w:sz w:val="21"/>
        </w:rPr>
        <w:t>: the real-data source set differs from the preregistered four sources.</w:t>
      </w:r>
    </w:p>
    <w:p>
      <w:pPr>
        <w:pStyle w:val="ListNumber"/>
        <w:spacing w:after="40"/>
      </w:pPr>
      <w:r>
        <w:rPr>
          <w:rFonts w:ascii="Calibri" w:hAnsi="Calibri" w:eastAsia="Times New Roman" w:cs="Times New Roman"/>
          <w:b/>
          <w:sz w:val="21"/>
        </w:rPr>
        <w:t>Licence constraint</w:t>
      </w:r>
      <w:r>
        <w:rPr>
          <w:rFonts w:ascii="Calibri" w:hAnsi="Calibri" w:eastAsia="Times New Roman" w:cs="Times New Roman"/>
          <w:sz w:val="21"/>
        </w:rPr>
        <w:t>: Junyi is CC-BY-NC-SA-4.0, commercial use prohibited.</w:t>
      </w:r>
    </w:p>
    <w:p>
      <w:pPr>
        <w:pStyle w:val="Heading1"/>
        <w:spacing w:before="200" w:after="80"/>
      </w:pPr>
      <w:r>
        <w:rPr>
          <w:rFonts w:ascii="Calibri" w:hAnsi="Calibri" w:eastAsia="Times New Roman" w:cs="Times New Roman"/>
          <w:sz w:val="32"/>
        </w:rPr>
        <w:t>11 Conclusions</w:t>
      </w:r>
    </w:p>
    <w:p>
      <w:pPr>
        <w:spacing w:after="120"/>
      </w:pPr>
      <w:r>
        <w:rPr>
          <w:rFonts w:ascii="Calibri" w:hAnsi="Calibri" w:eastAsia="Times New Roman" w:cs="Times New Roman"/>
          <w:sz w:val="21"/>
        </w:rPr>
        <w:t xml:space="preserve">We rewrote the question "can difficulty be measured on one common scale," which engineering practice had skipped, into a falsifiable measurement proposition, and answered it on synthetic data and four public learning-log corpora. </w:t>
      </w:r>
      <w:r>
        <w:rPr>
          <w:rFonts w:ascii="Calibri" w:hAnsi="Calibri" w:eastAsia="Times New Roman" w:cs="Times New Roman"/>
          <w:b/>
          <w:sz w:val="21"/>
        </w:rPr>
        <w:t>The caliber must be stated first: the real-data test of the proposition and the fusion gains are bounded to the assessed datasets, calibers, and criteria.</w:t>
      </w:r>
      <w:r>
        <w:rPr>
          <w:rFonts w:ascii="Calibri" w:hAnsi="Calibri" w:eastAsia="Times New Roman" w:cs="Times New Roman"/>
          <w:sz w:val="21"/>
        </w:rPr>
        <w:t xml:space="preserve"> Within that caliber, three results stand: linear fusion of normalised difficulty sources is unstable and the instability is repairable by quantile linking (0.5357 → 0.0001); multi-signal fusion gains under an expert-label criterion but reverses under holdout validation, with a deployable but rapidly decaying correction in </w:t>
      </w:r>
      <w:r>
        <w:rPr>
          <w:rFonts w:ascii="Consolas" w:hAnsi="Consolas" w:eastAsia="Times New Roman" w:cs="Times New Roman"/>
          <w:sz w:val="21"/>
        </w:rPr>
        <w:t>srw7</w:t>
      </w:r>
      <w:r>
        <w:rPr>
          <w:rFonts w:ascii="Calibri" w:hAnsi="Calibri" w:eastAsia="Times New Roman" w:cs="Times New Roman"/>
          <w:sz w:val="21"/>
        </w:rPr>
        <w:t xml:space="preserve"> plus λ*(k); and the descriptive error-rate distribution is a distribution of experienced difficulty rather than a test of the optimal error rate — about the 85% rule this paper can say nothing. The single most transferable warning is that a consistency gain is not a predictive-power gain.</w:t>
      </w:r>
    </w:p>
    <w:p>
      <w:pPr>
        <w:pStyle w:val="Heading1"/>
        <w:spacing w:before="200" w:after="80"/>
      </w:pPr>
      <w:r>
        <w:rPr>
          <w:rFonts w:ascii="Calibri" w:hAnsi="Calibri" w:eastAsia="Times New Roman" w:cs="Times New Roman"/>
          <w:sz w:val="32"/>
        </w:rPr>
        <w:t>References</w:t>
      </w:r>
    </w:p>
    <w:p>
      <w:pPr>
        <w:spacing w:after="120"/>
      </w:pPr>
      <w:r>
        <w:rPr>
          <w:rFonts w:ascii="Calibri" w:hAnsi="Calibri" w:eastAsia="Times New Roman" w:cs="Times New Roman"/>
          <w:sz w:val="21"/>
        </w:rPr>
        <w:t xml:space="preserve">[1] Wilson, R. C., Shenhav, A., Straccia, M., &amp; Cohen, J. D. (2019). The Eighty Five Percent Rule for optimal learning. </w:t>
      </w:r>
      <w:r>
        <w:rPr>
          <w:rFonts w:ascii="Calibri" w:hAnsi="Calibri" w:eastAsia="Times New Roman" w:cs="Times New Roman"/>
          <w:i/>
          <w:sz w:val="21"/>
        </w:rPr>
        <w:t>Nature Communications</w:t>
      </w:r>
      <w:r>
        <w:rPr>
          <w:rFonts w:ascii="Calibri" w:hAnsi="Calibri" w:eastAsia="Times New Roman" w:cs="Times New Roman"/>
          <w:sz w:val="21"/>
        </w:rPr>
        <w:t>, 10(1), 4646. DOI: 10.1038/s41467-019-12552-4.</w:t>
      </w:r>
    </w:p>
    <w:p>
      <w:pPr>
        <w:spacing w:after="120"/>
      </w:pPr>
      <w:r>
        <w:rPr>
          <w:rFonts w:ascii="Calibri" w:hAnsi="Calibri" w:eastAsia="Times New Roman" w:cs="Times New Roman"/>
          <w:sz w:val="21"/>
        </w:rPr>
        <w:t xml:space="preserve">[2] Baillifard, A., Belardi, A., &amp; Martarelli, C. S. (2025). Engagement beyond success rate: Evidence from an adaptive learning system. In </w:t>
      </w:r>
      <w:r>
        <w:rPr>
          <w:rFonts w:ascii="Calibri" w:hAnsi="Calibri" w:eastAsia="Times New Roman" w:cs="Times New Roman"/>
          <w:i/>
          <w:sz w:val="21"/>
        </w:rPr>
        <w:t>The Envisioning Report for Empowering Universities</w:t>
      </w:r>
      <w:r>
        <w:rPr>
          <w:rFonts w:ascii="Calibri" w:hAnsi="Calibri" w:eastAsia="Times New Roman" w:cs="Times New Roman"/>
          <w:sz w:val="21"/>
        </w:rPr>
        <w:t xml:space="preserve">, nr. 9 (9th edition, 2025), 56–59. European Association of Distance Teaching Universities (EADTU), Parkweg 27, 6212 XN Maastricht, the Netherlands. DOI: 10.5281/zenodo.15908735. (Non-peer-reviewed annual report, not a journal paper; source grade must be noted at the citation in the text.) n = 413; optimal success rate ≈ 80.7%. Bibliographic limits: this DOI is a report-level DOI, not a chapter-level DOI (the chapter has no independent DOI); no ISBN (Zenodo official API metadata </w:t>
      </w:r>
      <w:r>
        <w:rPr>
          <w:rFonts w:ascii="Consolas" w:hAnsi="Consolas" w:eastAsia="Times New Roman" w:cs="Times New Roman"/>
          <w:sz w:val="21"/>
        </w:rPr>
        <w:t>isbn</w:t>
      </w:r>
      <w:r>
        <w:rPr>
          <w:rFonts w:ascii="Calibri" w:hAnsi="Calibri" w:eastAsia="Times New Roman" w:cs="Times New Roman"/>
          <w:sz w:val="21"/>
        </w:rPr>
        <w:t xml:space="preserve"> field empty, PDF copyright page also none)—must not be filled; no volume / issue (annual report only has nr. 9)—must not be fabricated. Page numbers per PDF footer print page 56–59; the report TOC marks 57, which has a systematic off-by-one error from page 43 onward. (Verified 2026-09-23.)</w:t>
      </w:r>
    </w:p>
    <w:p>
      <w:pPr>
        <w:spacing w:after="120"/>
      </w:pPr>
      <w:r>
        <w:rPr>
          <w:rFonts w:ascii="Calibri" w:hAnsi="Calibri" w:eastAsia="Times New Roman" w:cs="Times New Roman"/>
          <w:sz w:val="21"/>
        </w:rPr>
        <w:t xml:space="preserve">[3] Guadagnoli, M. A., &amp; Lee, T. D. (2004). Challenge point: A framework for conceptualizing the effects of various practice conditions in motor learning. </w:t>
      </w:r>
      <w:r>
        <w:rPr>
          <w:rFonts w:ascii="Calibri" w:hAnsi="Calibri" w:eastAsia="Times New Roman" w:cs="Times New Roman"/>
          <w:i/>
          <w:sz w:val="21"/>
        </w:rPr>
        <w:t>Journal of Motor Behavior</w:t>
      </w:r>
      <w:r>
        <w:rPr>
          <w:rFonts w:ascii="Calibri" w:hAnsi="Calibri" w:eastAsia="Times New Roman" w:cs="Times New Roman"/>
          <w:sz w:val="21"/>
        </w:rPr>
        <w:t>, 36(2), 212–224. DOI: 10.3200/JMBR.36.2.212-224.</w:t>
      </w:r>
    </w:p>
    <w:p>
      <w:pPr>
        <w:spacing w:after="120"/>
      </w:pPr>
      <w:r>
        <w:rPr>
          <w:rFonts w:ascii="Calibri" w:hAnsi="Calibri" w:eastAsia="Times New Roman" w:cs="Times New Roman"/>
          <w:sz w:val="21"/>
        </w:rPr>
        <w:t xml:space="preserve">[4] Hodges, N. J., &amp; Lohse, K. R. (2022). An extended challenge-based framework for practice design in sports coaching. </w:t>
      </w:r>
      <w:r>
        <w:rPr>
          <w:rFonts w:ascii="Calibri" w:hAnsi="Calibri" w:eastAsia="Times New Roman" w:cs="Times New Roman"/>
          <w:i/>
          <w:sz w:val="21"/>
        </w:rPr>
        <w:t>Journal of Sports Sciences</w:t>
      </w:r>
      <w:r>
        <w:rPr>
          <w:rFonts w:ascii="Calibri" w:hAnsi="Calibri" w:eastAsia="Times New Roman" w:cs="Times New Roman"/>
          <w:sz w:val="21"/>
        </w:rPr>
        <w:t xml:space="preserve">, 40(7), 754–768. DOI: 10.1080/02640414.2021.2015917. (Correction 2026-09-23: originally mis-entered as </w:t>
      </w:r>
      <w:r>
        <w:rPr>
          <w:rFonts w:ascii="Calibri" w:hAnsi="Calibri" w:eastAsia="Times New Roman" w:cs="Times New Roman"/>
          <w:i/>
          <w:sz w:val="21"/>
        </w:rPr>
        <w:t>International Review of Sport and Exercise Psychology</w:t>
      </w:r>
      <w:r>
        <w:rPr>
          <w:rFonts w:ascii="Calibri" w:hAnsi="Calibri" w:eastAsia="Times New Roman" w:cs="Times New Roman"/>
          <w:sz w:val="21"/>
        </w:rPr>
        <w:t xml:space="preserve">; verified via publisher page to be </w:t>
      </w:r>
      <w:r>
        <w:rPr>
          <w:rFonts w:ascii="Calibri" w:hAnsi="Calibri" w:eastAsia="Times New Roman" w:cs="Times New Roman"/>
          <w:i/>
          <w:sz w:val="21"/>
        </w:rPr>
        <w:t>Journal of Sports Sciences</w:t>
      </w:r>
      <w:r>
        <w:rPr>
          <w:rFonts w:ascii="Calibri" w:hAnsi="Calibri" w:eastAsia="Times New Roman" w:cs="Times New Roman"/>
          <w:sz w:val="21"/>
        </w:rPr>
        <w:t>.)</w:t>
      </w:r>
    </w:p>
    <w:p>
      <w:pPr>
        <w:spacing w:after="120"/>
      </w:pPr>
      <w:r>
        <w:rPr>
          <w:rFonts w:ascii="Calibri" w:hAnsi="Calibri" w:eastAsia="Times New Roman" w:cs="Times New Roman"/>
          <w:sz w:val="21"/>
        </w:rPr>
        <w:t xml:space="preserve">[5] Weber, D., Becker, N., Spinath, F. M., &amp; Koch, M. (2025). The stability of IRT parameters under several test equating conditions. </w:t>
      </w:r>
      <w:r>
        <w:rPr>
          <w:rFonts w:ascii="Calibri" w:hAnsi="Calibri" w:eastAsia="Times New Roman" w:cs="Times New Roman"/>
          <w:i/>
          <w:sz w:val="21"/>
        </w:rPr>
        <w:t>Frontiers in Psychology</w:t>
      </w:r>
      <w:r>
        <w:rPr>
          <w:rFonts w:ascii="Calibri" w:hAnsi="Calibri" w:eastAsia="Times New Roman" w:cs="Times New Roman"/>
          <w:sz w:val="21"/>
        </w:rPr>
        <w:t>, 16, 1652341. DOI: 10.3389/fpsyg.2025.1652341.</w:t>
      </w:r>
    </w:p>
    <w:p>
      <w:pPr>
        <w:spacing w:after="120"/>
      </w:pPr>
      <w:r>
        <w:rPr>
          <w:rFonts w:ascii="Calibri" w:hAnsi="Calibri" w:eastAsia="Times New Roman" w:cs="Times New Roman"/>
          <w:sz w:val="21"/>
        </w:rPr>
        <w:t xml:space="preserve">[6] Deng, J. (2025). Linking errors introduced by rapid guessing responses when employing multigroup concurrent IRT scaling. </w:t>
      </w:r>
      <w:r>
        <w:rPr>
          <w:rFonts w:ascii="Calibri" w:hAnsi="Calibri" w:eastAsia="Times New Roman" w:cs="Times New Roman"/>
          <w:i/>
          <w:sz w:val="21"/>
        </w:rPr>
        <w:t>Large-scale Assessments in Education</w:t>
      </w:r>
      <w:r>
        <w:rPr>
          <w:rFonts w:ascii="Calibri" w:hAnsi="Calibri" w:eastAsia="Times New Roman" w:cs="Times New Roman"/>
          <w:sz w:val="21"/>
        </w:rPr>
        <w:t>, 13, 28. DOI: 10.1186/s40536-025-00265-8.</w:t>
      </w:r>
    </w:p>
    <w:p>
      <w:pPr>
        <w:spacing w:after="120"/>
      </w:pPr>
      <w:r>
        <w:rPr>
          <w:rFonts w:ascii="Calibri" w:hAnsi="Calibri" w:eastAsia="Times New Roman" w:cs="Times New Roman"/>
          <w:sz w:val="21"/>
        </w:rPr>
        <w:t xml:space="preserve">[7] Liu, Z., Guo, T., Liang, Q., Hou, M., Zhan, B., Tang, J., Luo, W., &amp; Weng, J. (2025). Deep learning based knowledge tracing: A review, a tool and empirical studies. </w:t>
      </w:r>
      <w:r>
        <w:rPr>
          <w:rFonts w:ascii="Calibri" w:hAnsi="Calibri" w:eastAsia="Times New Roman" w:cs="Times New Roman"/>
          <w:i/>
          <w:sz w:val="21"/>
        </w:rPr>
        <w:t>IEEE Transactions on Knowledge and Data Engineering</w:t>
      </w:r>
      <w:r>
        <w:rPr>
          <w:rFonts w:ascii="Calibri" w:hAnsi="Calibri" w:eastAsia="Times New Roman" w:cs="Times New Roman"/>
          <w:sz w:val="21"/>
        </w:rPr>
        <w:t>, 37(8), 4512–4536. DOI: 10.1109/TKDE.2025.3552759.</w:t>
      </w:r>
    </w:p>
    <w:p>
      <w:pPr>
        <w:spacing w:after="120"/>
      </w:pPr>
      <w:r>
        <w:rPr>
          <w:rFonts w:ascii="Calibri" w:hAnsi="Calibri" w:eastAsia="Times New Roman" w:cs="Times New Roman"/>
          <w:sz w:val="21"/>
        </w:rPr>
        <w:t xml:space="preserve">[8] Ding, M., Agrawal, A., Choo, J., Deng, C., et al. (2024). Easy2Hard-Bench: Standardized difficulty labels for profiling LLM performance and generalization. </w:t>
      </w:r>
      <w:r>
        <w:rPr>
          <w:rFonts w:ascii="Calibri" w:hAnsi="Calibri" w:eastAsia="Times New Roman" w:cs="Times New Roman"/>
          <w:i/>
          <w:sz w:val="21"/>
        </w:rPr>
        <w:t>Advances in Neural Information Processing Systems (NeurIPS), Datasets and Benchmarks Track</w:t>
      </w:r>
      <w:r>
        <w:rPr>
          <w:rFonts w:ascii="Calibri" w:hAnsi="Calibri" w:eastAsia="Times New Roman" w:cs="Times New Roman"/>
          <w:sz w:val="21"/>
        </w:rPr>
        <w:t>. arXiv:2409.18433.</w:t>
      </w:r>
    </w:p>
    <w:p>
      <w:pPr>
        <w:spacing w:after="120"/>
      </w:pPr>
      <w:r>
        <w:rPr>
          <w:rFonts w:ascii="Calibri" w:hAnsi="Calibri" w:eastAsia="Times New Roman" w:cs="Times New Roman"/>
          <w:sz w:val="21"/>
        </w:rPr>
        <w:t xml:space="preserve">[9] Dudík, M., Langford, J., &amp; Li, L. (2011). Doubly robust policy evaluation and learning. </w:t>
      </w:r>
      <w:r>
        <w:rPr>
          <w:rFonts w:ascii="Calibri" w:hAnsi="Calibri" w:eastAsia="Times New Roman" w:cs="Times New Roman"/>
          <w:i/>
          <w:sz w:val="21"/>
        </w:rPr>
        <w:t>Proceedings of the 28th International Conference on Machine Learning (ICML)</w:t>
      </w:r>
      <w:r>
        <w:rPr>
          <w:rFonts w:ascii="Calibri" w:hAnsi="Calibri" w:eastAsia="Times New Roman" w:cs="Times New Roman"/>
          <w:sz w:val="21"/>
        </w:rPr>
        <w:t>.</w:t>
      </w:r>
    </w:p>
    <w:p>
      <w:pPr>
        <w:spacing w:after="120"/>
      </w:pPr>
      <w:r>
        <w:rPr>
          <w:rFonts w:ascii="Calibri" w:hAnsi="Calibri" w:eastAsia="Times New Roman" w:cs="Times New Roman"/>
          <w:sz w:val="21"/>
        </w:rPr>
        <w:t xml:space="preserve">[10] Chernozhukov, V., Chetverikov, D., Demirer, M., Duflo, E., Hansen, C., Newey, W., &amp; Robins, J. (2018). Double/debiased machine learning for treatment and structural parameters. </w:t>
      </w:r>
      <w:r>
        <w:rPr>
          <w:rFonts w:ascii="Calibri" w:hAnsi="Calibri" w:eastAsia="Times New Roman" w:cs="Times New Roman"/>
          <w:i/>
          <w:sz w:val="21"/>
        </w:rPr>
        <w:t>The Econometrics Journal</w:t>
      </w:r>
      <w:r>
        <w:rPr>
          <w:rFonts w:ascii="Calibri" w:hAnsi="Calibri" w:eastAsia="Times New Roman" w:cs="Times New Roman"/>
          <w:sz w:val="21"/>
        </w:rPr>
        <w:t>, 21(1), C1–C68. DOI: 10.1111/ectj.12097.</w:t>
      </w:r>
    </w:p>
    <w:p>
      <w:pPr>
        <w:spacing w:after="120"/>
      </w:pPr>
      <w:r>
        <w:rPr>
          <w:rFonts w:ascii="Calibri" w:hAnsi="Calibri" w:eastAsia="Times New Roman" w:cs="Times New Roman"/>
          <w:sz w:val="21"/>
        </w:rPr>
        <w:t xml:space="preserve">[11] VanderWeele, T. J., &amp; Ding, P. (2017). Sensitivity analysis in observational research: Introducing the E-value. </w:t>
      </w:r>
      <w:r>
        <w:rPr>
          <w:rFonts w:ascii="Calibri" w:hAnsi="Calibri" w:eastAsia="Times New Roman" w:cs="Times New Roman"/>
          <w:i/>
          <w:sz w:val="21"/>
        </w:rPr>
        <w:t>Annals of Internal Medicine</w:t>
      </w:r>
      <w:r>
        <w:rPr>
          <w:rFonts w:ascii="Calibri" w:hAnsi="Calibri" w:eastAsia="Times New Roman" w:cs="Times New Roman"/>
          <w:sz w:val="21"/>
        </w:rPr>
        <w:t>, 167(4), 268–274. DOI: 10.7326/M16-2607.</w:t>
      </w:r>
    </w:p>
    <w:p>
      <w:pPr>
        <w:spacing w:after="120"/>
      </w:pPr>
      <w:r>
        <w:rPr>
          <w:rFonts w:ascii="Calibri" w:hAnsi="Calibri" w:eastAsia="Times New Roman" w:cs="Times New Roman"/>
          <w:sz w:val="21"/>
        </w:rPr>
        <w:t xml:space="preserve">[12] Feng, M., Heffernan, N. T., &amp; Koedinger, K. R. (2009). Addressing the assessment challenge with an online system that tutors as it assesses. </w:t>
      </w:r>
      <w:r>
        <w:rPr>
          <w:rFonts w:ascii="Calibri" w:hAnsi="Calibri" w:eastAsia="Times New Roman" w:cs="Times New Roman"/>
          <w:i/>
          <w:sz w:val="21"/>
        </w:rPr>
        <w:t>User Modeling and User-Adapted Interaction</w:t>
      </w:r>
      <w:r>
        <w:rPr>
          <w:rFonts w:ascii="Calibri" w:hAnsi="Calibri" w:eastAsia="Times New Roman" w:cs="Times New Roman"/>
          <w:sz w:val="21"/>
        </w:rPr>
        <w:t>, 19(3), 243–266. DOI: 10.1007/s11257-009-9063-7. ASSISTments 2009–2010 skill-builder data page URL: https://sites.google.com/site/assistmentsdata/home/2009-2010-assistment-data/skill-builder-data-2009-2010 (HTTP 200 verified). Warning: the widely circulated old URL variant is now 404, disabled. Note: the data page self-citation titles the paper "...in an Intelligent Tutoring System that tutors as it assesses," inconsistent with the published title—use the published title.</w:t>
      </w:r>
    </w:p>
    <w:p>
      <w:pPr>
        <w:spacing w:after="120"/>
      </w:pPr>
      <w:r>
        <w:rPr>
          <w:rFonts w:ascii="Calibri" w:hAnsi="Calibri" w:eastAsia="Times New Roman" w:cs="Times New Roman"/>
          <w:sz w:val="21"/>
        </w:rPr>
        <w:t>[13] Abdelrahman, G., Wang, Q., et al. (2022). Knowledge tracing for complex skill training data. arXiv:2208.12651. (DBE-KT22; ADA Dataverse DOI: 10.26193/6DZWOH)</w:t>
      </w:r>
    </w:p>
    <w:p>
      <w:pPr>
        <w:spacing w:after="120"/>
      </w:pPr>
      <w:r>
        <w:rPr>
          <w:rFonts w:ascii="Calibri" w:hAnsi="Calibri" w:eastAsia="Times New Roman" w:cs="Times New Roman"/>
          <w:sz w:val="21"/>
        </w:rPr>
        <w:t xml:space="preserve">[14] Liu, Z., Liu, Q., Guo, T., Chen, J., Huang, S., Zhao, X., Tang, J., Luo, W., &amp; Weng, J. (2023). XES3G5M: A knowledge tracing benchmark dataset with auxiliary information. In </w:t>
      </w:r>
      <w:r>
        <w:rPr>
          <w:rFonts w:ascii="Calibri" w:hAnsi="Calibri" w:eastAsia="Times New Roman" w:cs="Times New Roman"/>
          <w:i/>
          <w:sz w:val="21"/>
        </w:rPr>
        <w:t>Advances in Neural Information Processing Systems 36 (NeurIPS 2023), Datasets and Benchmarks Track</w:t>
      </w:r>
      <w:r>
        <w:rPr>
          <w:rFonts w:ascii="Calibri" w:hAnsi="Calibri" w:eastAsia="Times New Roman" w:cs="Times New Roman"/>
          <w:sz w:val="21"/>
        </w:rPr>
        <w:t>, 32958–32970. DOI: 10.52202/075280-1429. (MIT licence.) Bibliographic limits: pages 32958–32970 from OpenAlex; NeurIPS official page shows no pages; if the target journal does not require conference pages, DOI alone suffices. arXiv number left blank—the paper has no arXiv preprint (arXiv API returns 0); must not fabricate. Disambiguation: Liu, Z., Chen, J., &amp; Luo, W. (2023) "Recent Advances on Deep Learning based Knowledge Tracing" (WSDM 2023, 1295–1296) is a same-first-author, same-field, same-year two-page short paper, not this entry—do not miscite.</w:t>
      </w:r>
    </w:p>
    <w:p>
      <w:pPr>
        <w:spacing w:after="120"/>
      </w:pPr>
      <w:r>
        <w:rPr>
          <w:rFonts w:ascii="Calibri" w:hAnsi="Calibri" w:eastAsia="Times New Roman" w:cs="Times New Roman"/>
          <w:sz w:val="21"/>
        </w:rPr>
        <w:t xml:space="preserve">[15] Chang, H.-S., Hsu, H.-J., &amp; Chen, K.-T. (2015). Modeling exercise relationships in e-learning: A unified approach. In </w:t>
      </w:r>
      <w:r>
        <w:rPr>
          <w:rFonts w:ascii="Calibri" w:hAnsi="Calibri" w:eastAsia="Times New Roman" w:cs="Times New Roman"/>
          <w:i/>
          <w:sz w:val="21"/>
        </w:rPr>
        <w:t>Proceedings of the 8th International Conference on Educational Data Mining (EDM 2015)</w:t>
      </w:r>
      <w:r>
        <w:rPr>
          <w:rFonts w:ascii="Calibri" w:hAnsi="Calibri" w:eastAsia="Times New Roman" w:cs="Times New Roman"/>
          <w:sz w:val="21"/>
        </w:rPr>
        <w:t xml:space="preserve">, 532–535. International Educational Data Mining Society. ISBN: 978-8-4606-9425-0. URL: https://www.educationaldatamining.org/EDM2015/proceedings/short532-535.pdf (HTTP 200 verified). Junyi Academy dataset, CC-BY-NC-SA-4.0, commercial use prohibited. (Correction 2026-09-23: entire original entry was wrong, replaced. Originally entered as </w:t>
      </w:r>
      <w:r>
        <w:rPr>
          <w:rFonts w:ascii="Calibri" w:hAnsi="Calibri" w:eastAsia="Times New Roman" w:cs="Times New Roman"/>
          <w:i/>
          <w:sz w:val="21"/>
        </w:rPr>
        <w:t>Educational Technology &amp; Society</w:t>
      </w:r>
      <w:r>
        <w:rPr>
          <w:rFonts w:ascii="Calibri" w:hAnsi="Calibri" w:eastAsia="Times New Roman" w:cs="Times New Roman"/>
          <w:sz w:val="21"/>
        </w:rPr>
        <w:t>, 18(2), 128–141. Counter-evidence: ET&amp;S official Volume 18, Number 2 (2015) TOC PDF contains no such paper; the "128–141" spans three unrelated papers. No DOI found (EDM 2015 proceedings assigned no Crossref DOI), left blank, must not fabricate, use the URL above. This paper remains the source of the Junyi Academy dataset.)</w:t>
      </w:r>
    </w:p>
    <w:p>
      <w:pPr>
        <w:spacing w:after="120"/>
      </w:pPr>
      <w:r>
        <w:rPr>
          <w:rFonts w:ascii="Calibri" w:hAnsi="Calibri" w:eastAsia="Times New Roman" w:cs="Times New Roman"/>
          <w:sz w:val="21"/>
        </w:rPr>
        <w:t xml:space="preserve">[16] Kolen, M. J., &amp; Brennan, R. L. (2014). </w:t>
      </w:r>
      <w:r>
        <w:rPr>
          <w:rFonts w:ascii="Calibri" w:hAnsi="Calibri" w:eastAsia="Times New Roman" w:cs="Times New Roman"/>
          <w:i/>
          <w:sz w:val="21"/>
        </w:rPr>
        <w:t>Test Equating, Scaling, and Linking: Methods and Practices</w:t>
      </w:r>
      <w:r>
        <w:rPr>
          <w:rFonts w:ascii="Calibri" w:hAnsi="Calibri" w:eastAsia="Times New Roman" w:cs="Times New Roman"/>
          <w:sz w:val="21"/>
        </w:rPr>
        <w:t xml:space="preserve"> (3rd ed.). Springer.</w:t>
      </w:r>
    </w:p>
    <w:p>
      <w:pPr>
        <w:spacing w:after="120"/>
      </w:pPr>
      <w:r>
        <w:rPr>
          <w:rFonts w:ascii="Calibri" w:hAnsi="Calibri" w:eastAsia="Times New Roman" w:cs="Times New Roman"/>
          <w:sz w:val="21"/>
        </w:rPr>
        <w:t xml:space="preserve">[17] Platt, J. (1999). Probabilistic outputs for support vector machines and comparisons to regularized likelihood methods. In </w:t>
      </w:r>
      <w:r>
        <w:rPr>
          <w:rFonts w:ascii="Calibri" w:hAnsi="Calibri" w:eastAsia="Times New Roman" w:cs="Times New Roman"/>
          <w:i/>
          <w:sz w:val="21"/>
        </w:rPr>
        <w:t>Advances in Large Margin Classifiers</w:t>
      </w:r>
      <w:r>
        <w:rPr>
          <w:rFonts w:ascii="Calibri" w:hAnsi="Calibri" w:eastAsia="Times New Roman" w:cs="Times New Roman"/>
          <w:sz w:val="21"/>
        </w:rPr>
        <w:t>. MIT Press.</w:t>
      </w:r>
    </w:p>
    <w:p>
      <w:pPr>
        <w:spacing w:after="120"/>
      </w:pPr>
      <w:r>
        <w:rPr>
          <w:rFonts w:ascii="Calibri" w:hAnsi="Calibri" w:eastAsia="Times New Roman" w:cs="Times New Roman"/>
          <w:sz w:val="21"/>
        </w:rPr>
        <w:t xml:space="preserve">[18] Guo, C., Pleiss, G., Sun, Y., &amp; Weinberger, K. Q. (2017). On calibration of modern neural networks. </w:t>
      </w:r>
      <w:r>
        <w:rPr>
          <w:rFonts w:ascii="Calibri" w:hAnsi="Calibri" w:eastAsia="Times New Roman" w:cs="Times New Roman"/>
          <w:i/>
          <w:sz w:val="21"/>
        </w:rPr>
        <w:t>Proceedings of the 34th International Conference on Machine Learning (ICML)</w:t>
      </w:r>
      <w:r>
        <w:rPr>
          <w:rFonts w:ascii="Calibri" w:hAnsi="Calibri" w:eastAsia="Times New Roman" w:cs="Times New Roman"/>
          <w:sz w:val="21"/>
        </w:rPr>
        <w:t>.</w:t>
      </w:r>
    </w:p>
    <w:p>
      <w:pPr>
        <w:spacing w:after="120"/>
      </w:pPr>
      <w:r>
        <w:rPr>
          <w:rFonts w:ascii="Calibri" w:hAnsi="Calibri" w:eastAsia="Times New Roman" w:cs="Times New Roman"/>
          <w:sz w:val="21"/>
        </w:rPr>
        <w:t xml:space="preserve">[19] Efron, B., &amp; Tibshirani, R. J. (1993). </w:t>
      </w:r>
      <w:r>
        <w:rPr>
          <w:rFonts w:ascii="Calibri" w:hAnsi="Calibri" w:eastAsia="Times New Roman" w:cs="Times New Roman"/>
          <w:i/>
          <w:sz w:val="21"/>
        </w:rPr>
        <w:t>An Introduction to the Bootstrap</w:t>
      </w:r>
      <w:r>
        <w:rPr>
          <w:rFonts w:ascii="Calibri" w:hAnsi="Calibri" w:eastAsia="Times New Roman" w:cs="Times New Roman"/>
          <w:sz w:val="21"/>
        </w:rPr>
        <w:t>. Chapman &amp; Hall.</w:t>
      </w:r>
    </w:p>
    <w:p>
      <w:pPr>
        <w:spacing w:after="120"/>
      </w:pPr>
      <w:r>
        <w:rPr>
          <w:rFonts w:ascii="Calibri" w:hAnsi="Calibri" w:eastAsia="Times New Roman" w:cs="Times New Roman"/>
          <w:sz w:val="21"/>
        </w:rPr>
        <w:t xml:space="preserve">[20] Cohen, J. (1968). Weighted kappa: Nominal scale agreement with provision for scaled disagreement or partial credit. </w:t>
      </w:r>
      <w:r>
        <w:rPr>
          <w:rFonts w:ascii="Calibri" w:hAnsi="Calibri" w:eastAsia="Times New Roman" w:cs="Times New Roman"/>
          <w:i/>
          <w:sz w:val="21"/>
        </w:rPr>
        <w:t>Psychological Bulletin</w:t>
      </w:r>
      <w:r>
        <w:rPr>
          <w:rFonts w:ascii="Calibri" w:hAnsi="Calibri" w:eastAsia="Times New Roman" w:cs="Times New Roman"/>
          <w:sz w:val="21"/>
        </w:rPr>
        <w:t>, 70(4), 213–220.</w:t>
      </w:r>
    </w:p>
    <w:p>
      <w:pPr>
        <w:spacing w:after="120"/>
      </w:pPr>
      <w:r>
        <w:rPr>
          <w:rFonts w:ascii="Calibri" w:hAnsi="Calibri" w:eastAsia="Times New Roman" w:cs="Times New Roman"/>
          <w:sz w:val="21"/>
        </w:rPr>
        <w:t xml:space="preserve">[21] Benjamini, Y., &amp; Hochberg, Y. (1995). Controlling the false discovery rate: A practical and powerful approach to multiple testing. </w:t>
      </w:r>
      <w:r>
        <w:rPr>
          <w:rFonts w:ascii="Calibri" w:hAnsi="Calibri" w:eastAsia="Times New Roman" w:cs="Times New Roman"/>
          <w:i/>
          <w:sz w:val="21"/>
        </w:rPr>
        <w:t>Journal of the Royal Statistical Society: Series B</w:t>
      </w:r>
      <w:r>
        <w:rPr>
          <w:rFonts w:ascii="Calibri" w:hAnsi="Calibri" w:eastAsia="Times New Roman" w:cs="Times New Roman"/>
          <w:sz w:val="21"/>
        </w:rPr>
        <w:t>, 57(1), 289–300.</w:t>
      </w:r>
    </w:p>
    <w:p>
      <w:pPr>
        <w:spacing w:after="120"/>
      </w:pPr>
      <w:r>
        <w:rPr>
          <w:rFonts w:ascii="Calibri" w:hAnsi="Calibri" w:eastAsia="Times New Roman" w:cs="Times New Roman"/>
          <w:sz w:val="21"/>
        </w:rPr>
        <w:t xml:space="preserve">[22] Atroszko, P. A., Charzyńska, E., Buźniak, A., Czerwiński, S. K., Griffiths, M. D., et al. (2025). Validity, reliability, and cross-cultural comparability of a problematic overstudying scale. </w:t>
      </w:r>
      <w:r>
        <w:rPr>
          <w:rFonts w:ascii="Calibri" w:hAnsi="Calibri" w:eastAsia="Times New Roman" w:cs="Times New Roman"/>
          <w:i/>
          <w:sz w:val="21"/>
        </w:rPr>
        <w:t>International Journal of Mental Health and Addiction</w:t>
      </w:r>
      <w:r>
        <w:rPr>
          <w:rFonts w:ascii="Calibri" w:hAnsi="Calibri" w:eastAsia="Times New Roman" w:cs="Times New Roman"/>
          <w:sz w:val="21"/>
        </w:rPr>
        <w:t>. DOI: 10.1007/s11469-023-01128-5.</w:t>
      </w:r>
    </w:p>
    <w:p>
      <w:pPr>
        <w:spacing w:after="120"/>
      </w:pPr>
      <w:r>
        <w:rPr>
          <w:rFonts w:ascii="Calibri" w:hAnsi="Calibri" w:eastAsia="Times New Roman" w:cs="Times New Roman"/>
          <w:sz w:val="21"/>
        </w:rPr>
        <w:t xml:space="preserve">[23] Loscalzo, Y., Wetstone, H., Schuldberg, D., Giannini, M., &amp; Rice, K. G. (2024). Studyholism in the United States and Italy. </w:t>
      </w:r>
      <w:r>
        <w:rPr>
          <w:rFonts w:ascii="Calibri" w:hAnsi="Calibri" w:eastAsia="Times New Roman" w:cs="Times New Roman"/>
          <w:i/>
          <w:sz w:val="21"/>
        </w:rPr>
        <w:t>Current Psychology</w:t>
      </w:r>
      <w:r>
        <w:rPr>
          <w:rFonts w:ascii="Calibri" w:hAnsi="Calibri" w:eastAsia="Times New Roman" w:cs="Times New Roman"/>
          <w:sz w:val="21"/>
        </w:rPr>
        <w:t>, 43(29), 24608–24621. DOI: 10.1007/s12144-024-06163-6.</w:t>
      </w:r>
    </w:p>
    <w:p>
      <w:pPr>
        <w:spacing w:after="120"/>
      </w:pPr>
      <w:r>
        <w:rPr>
          <w:rFonts w:ascii="Calibri" w:hAnsi="Calibri" w:eastAsia="Times New Roman" w:cs="Times New Roman"/>
          <w:sz w:val="21"/>
        </w:rPr>
        <w:t xml:space="preserve">[24] Wu, Y., Dai, X., Wen, Z., &amp; Cui, H. (2010). Compilation of an adolescent learning burnout scale. </w:t>
      </w:r>
      <w:r>
        <w:rPr>
          <w:rFonts w:ascii="Calibri" w:hAnsi="Calibri" w:eastAsia="Times New Roman" w:cs="Times New Roman"/>
          <w:i/>
          <w:sz w:val="21"/>
        </w:rPr>
        <w:t>Chinese Journal of Clinical Psychology</w:t>
      </w:r>
      <w:r>
        <w:rPr>
          <w:rFonts w:ascii="Calibri" w:hAnsi="Calibri" w:eastAsia="Times New Roman" w:cs="Times New Roman"/>
          <w:sz w:val="21"/>
        </w:rPr>
        <w:t>, 18(2), 152–154.</w:t>
      </w:r>
    </w:p>
    <w:p>
      <w:pPr>
        <w:spacing w:after="120"/>
      </w:pPr>
      <w:r>
        <w:rPr>
          <w:rFonts w:ascii="Calibri" w:hAnsi="Calibri" w:eastAsia="Times New Roman" w:cs="Times New Roman"/>
          <w:sz w:val="21"/>
        </w:rPr>
        <w:t xml:space="preserve">[25] Al-Fawakhiri, N., Kayani, S., &amp; McDougle, S. D. (2023). Evidence of an optimal error rate for motor skill learning. </w:t>
      </w:r>
      <w:r>
        <w:rPr>
          <w:rFonts w:ascii="Calibri" w:hAnsi="Calibri" w:eastAsia="Times New Roman" w:cs="Times New Roman"/>
          <w:i/>
          <w:sz w:val="21"/>
        </w:rPr>
        <w:t>bioRxiv</w:t>
      </w:r>
      <w:r>
        <w:rPr>
          <w:rFonts w:ascii="Calibri" w:hAnsi="Calibri" w:eastAsia="Times New Roman" w:cs="Times New Roman"/>
          <w:sz w:val="21"/>
        </w:rPr>
        <w:t>. DOI: 10.1101/2023.07.19.549705. (Supplemented 2026-09-27: previously a dangling reference; now added. Evidence grade must be stated with citation: as of this verification still a bioRxiv preprint (latest v5, not peer-reviewed), v3 revision note self-states "rearranged methods section for submission," no formal publication record found, so it must not be described as published. Content consistent with text: N=192, empirical optimal error rate ≈ 30%, domain motor-skill learning. Placement limit unchanged: value not extrapolable to academic learning, cited only as a task-dependence case, not in the RQ2 decision table, not as a new target value.)</w:t>
      </w:r>
    </w:p>
    <w:p>
      <w:pPr>
        <w:spacing w:after="120"/>
      </w:pPr>
      <w:r>
        <w:rPr>
          <w:rFonts w:ascii="Calibri" w:hAnsi="Calibri" w:eastAsia="Times New Roman" w:cs="Times New Roman"/>
          <w:sz w:val="21"/>
        </w:rPr>
        <w:t xml:space="preserve">[26] Yeung, C.-K. (2019). Deep-IRT: Make deep learning based knowledge tracing explainable using item response theory. In </w:t>
      </w:r>
      <w:r>
        <w:rPr>
          <w:rFonts w:ascii="Calibri" w:hAnsi="Calibri" w:eastAsia="Times New Roman" w:cs="Times New Roman"/>
          <w:i/>
          <w:sz w:val="21"/>
        </w:rPr>
        <w:t>Proceedings of the 12th International Conference on Educational Data Mining (EDM 2019)</w:t>
      </w:r>
      <w:r>
        <w:rPr>
          <w:rFonts w:ascii="Calibri" w:hAnsi="Calibri" w:eastAsia="Times New Roman" w:cs="Times New Roman"/>
          <w:sz w:val="21"/>
        </w:rPr>
        <w:t xml:space="preserve"> (pp. 683–686). arXiv:1904.11738. (Supplemented 2026-09-27: previously a dangling reference; now added. Verified that beyond arXiv:1904.11738 there is also a formal EDM 2019 conference version (pp. 683–686, per the author's own code-repo citation example), so cited by formal version, arXiv as auxiliary. This paper's citation point is only one reported number: item analysis (first-attempt error proportion) vs. 1PL IRT difficulty Pearson r = 0.96; the same paper also reports publisher-labelled 3-level difficulty correlates only 0.40 with item analysis, 0.39 with IRT, 0.08 with Deep-IRT, so its network-output difficulty must not be used as a decision benchmark.)</w:t>
      </w: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M1_submission_EN_compressed</dc:title>
  <dc:subject>Doctoral dissertation supporting paper (English submission manuscript) — Measurability and governability of difficulty in adaptive learning</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