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erif" w:hAnsi="Liberation Serif" w:eastAsia="Noto Sans CJK SC" w:cs="Noto Sans CJK SC"/>
          <w:sz w:val="44"/>
        </w:rPr>
        <w:t>LearnFlow 难度研究进展报告</w:t>
      </w:r>
    </w:p>
    <w:p/>
    <w:p>
      <w:pPr>
        <w:spacing w:before="40" w:after="40"/>
        <w:ind w:left="360"/>
      </w:pPr>
      <w:r>
        <w:rPr>
          <w:rFonts w:ascii="Liberation Serif" w:hAnsi="Liberation Serif" w:eastAsia="Noto Sans CJK SC" w:cs="Noto Sans CJK SC"/>
          <w:i/>
          <w:color w:val="555555"/>
          <w:sz w:val="19"/>
        </w:rPr>
        <w:t xml:space="preserve">工作修订稿，2026-10-08。唯一源为本目录下四份 Markdown；Word 文件由这些源生成。本稿尚未完成本人决策确认与提交冻结。 审阅基线为 commit </w:t>
      </w:r>
      <w:r>
        <w:rPr>
          <w:rFonts w:ascii="Liberation Mono" w:hAnsi="Liberation Mono" w:eastAsia="Noto Sans CJK SC" w:cs="Noto Sans CJK SC"/>
          <w:i/>
          <w:color w:val="555555"/>
          <w:sz w:val="19"/>
        </w:rPr>
        <w:t>fff758bfca7065d5c08eba5a92c7db8cc584ca72</w:t>
      </w:r>
      <w:r>
        <w:rPr>
          <w:rFonts w:ascii="Liberation Serif" w:hAnsi="Liberation Serif" w:eastAsia="Noto Sans CJK SC" w:cs="Noto Sans CJK SC"/>
          <w:i/>
          <w:color w:val="555555"/>
          <w:sz w:val="19"/>
        </w:rPr>
        <w:t>。它是历史审阅对象，不能表示本轮未提交修改。正式提交时新建一次性 tag，并在仓库外生成的封面写入 tag 与完整 commit；现有 tag 不移动。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当前研究范围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2026-10-07 按作者最新决定，当前 M1、M3 以公开教育日志二次分析、保存模型输出和离线模拟推进，不招募新真人。人类实验、IRB 草案及研究会话属于后续储备，不是本轮投稿前置条件。使用 K12 题目不表示招募未成年人；不主张人类学习改善、最优正确率或因果效果。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作者仅 wengzexiao，已确认使用 WorkBuddy、Codex、ChatGPT、DeepSeek、Hy4。具体版本、任务映射、单位/ORCID 与最终本人审阅范围仍需据实确认。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M1 新增 2,000 次配对题目 bootstrap：融合−成功率相关差在 Junyi 为 −0.0617，95% 区间 [−0.0730,−0.0520]；DBE 为 +0.0714，区间 [−0.0184,0.1627]。DBE 优势未得到确认。共享秩链接的不变性不代表有效贡献等于名义权重。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XES3G5M 整理 7,652 道公开题，其中 3,209 道通过无图单数值格式筛选，不代表人工审核或题干完整性已通过。训练和测试学生没有重叠；4,470 题的观察失败率复现相关 0.9527，题目级条件区间 [0.9487,0.9561]，不解释成学习效果或 IRT 测量验证。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1 本轮结果和范围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本轮修订针对版本一致性、可复算指标与结论范围。已有研究结果来自公开日志、模拟和内部静态审计，没有 LearnFlow 真实用户学习效果结果。新 API 模型、人类实验与因果策略第 2 版未执行。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2 测量与判据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76"/>
        <w:gridCol w:w="2476"/>
        <w:gridCol w:w="2476"/>
        <w:gridCol w:w="2476"/>
      </w:tblGrid>
      <w:tr>
        <w:trPr>
          <w:cantSplit/>
          <w:tblHeader/>
        </w:trPr>
        <w:tc>
          <w:tcPr>
            <w:tcW w:type="dxa" w:w="2476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比较</w:t>
            </w:r>
          </w:p>
        </w:tc>
        <w:tc>
          <w:tcPr>
            <w:tcW w:type="dxa" w:w="2476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成功率</w:t>
            </w:r>
          </w:p>
        </w:tc>
        <w:tc>
          <w:tcPr>
            <w:tcW w:type="dxa" w:w="2476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等权融合</w:t>
            </w:r>
          </w:p>
        </w:tc>
        <w:tc>
          <w:tcPr>
            <w:tcW w:type="dxa" w:w="2476"/>
            <w:shd w:val="clear" w:color="auto" w:fill="DDDDDD"/>
          </w:tcPr>
          <w:p>
            <w:r>
              <w:rPr>
                <w:b/>
              </w:rPr>
            </w:r>
            <w:r>
              <w:rPr>
                <w:rFonts w:ascii="Liberation Serif" w:hAnsi="Liberation Serif" w:eastAsia="Noto Sans CJK SC" w:cs="Noto Sans CJK SC"/>
                <w:b/>
                <w:sz w:val="19"/>
              </w:rPr>
              <w:t>解读</w:t>
            </w:r>
          </w:p>
        </w:tc>
      </w:tr>
      <w:tr>
        <w:trPr>
          <w:cantSplit/>
        </w:trPr>
        <w:tc>
          <w:tcPr>
            <w:tcW w:type="dxa" w:w="2476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Junyi A 半估计，B 半 IRT 参数评价</w:t>
            </w:r>
          </w:p>
        </w:tc>
        <w:tc>
          <w:tcPr>
            <w:tcW w:type="dxa" w:w="2476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0.9541</w:t>
            </w:r>
          </w:p>
        </w:tc>
        <w:tc>
          <w:tcPr>
            <w:tcW w:type="dxa" w:w="2476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0.8923</w:t>
            </w:r>
          </w:p>
        </w:tc>
        <w:tc>
          <w:tcPr>
            <w:tcW w:type="dxa" w:w="2476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成功率更接近独立 IRT 判据</w:t>
            </w:r>
          </w:p>
        </w:tc>
      </w:tr>
      <w:tr>
        <w:trPr>
          <w:cantSplit/>
        </w:trPr>
        <w:tc>
          <w:tcPr>
            <w:tcW w:type="dxa" w:w="2476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DBE-KT22 教师三级标签</w:t>
            </w:r>
          </w:p>
        </w:tc>
        <w:tc>
          <w:tcPr>
            <w:tcW w:type="dxa" w:w="2476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0.2204</w:t>
            </w:r>
          </w:p>
        </w:tc>
        <w:tc>
          <w:tcPr>
            <w:tcW w:type="dxa" w:w="2476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0.2918</w:t>
            </w:r>
          </w:p>
        </w:tc>
        <w:tc>
          <w:tcPr>
            <w:tcW w:type="dxa" w:w="2476"/>
          </w:tcPr>
          <w:p>
            <w:r/>
            <w:r>
              <w:rPr>
                <w:rFonts w:ascii="Liberation Serif" w:hAnsi="Liberation Serif" w:eastAsia="Noto Sans CJK SC" w:cs="Noto Sans CJK SC"/>
                <w:sz w:val="19"/>
              </w:rPr>
              <w:t>融合点估计更高，配对区间跨零</w:t>
            </w:r>
          </w:p>
        </w:tc>
      </w:tr>
    </w:tbl>
    <w:p/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这两项界定不同数据与判据下的表现边界。A1 与 A2 的样本和信号数不同，不能把反转解释成同一估计器在同一数据集上的因果变化。A2/O4 使用同一全交易定义，优化 0.5367、五折评价均值 0.4862。旧缓存排除隐藏交易的探索分析保持独立，不能与新成功率值混配。C1 的真实数据漂移检验仅在 assist09 完成，不能写成跨四系统重复验证。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3 经历难度分布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本轮从本地 assist09 原始 CSV 重新运行整份分析脚本，写出整个结果 JSON。窗口 W=20，共 286,150 窗、2,314 个贡献窗口的学生。错误率 0.15–0.35 共 141,064 窗，占 49.3%；最常见两个支撑点相差 838 窗，占 0.29%。学生级 bootstrap 2,000 次、种子 20260922 给出最小累积 95% 众数集合 {0.25, 0.20}，频率为 0.9410 与 0.0595。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80–85% 正确率带占 19.64%，75–80% 占 21.30%，70–75% 占 20.76%，因此不能说 80–85% 比其他同宽带更集中。该分布是题目分配与学生能力共同形成的经历难度，不能定位最优错误率，也不能检验 85% 规则。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4 本地模型评级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已保存记录用于重算，不增加模型调用。顺序 AUC 仅比较教师标签不同的题对，模型并列计 0.5。八个原主文件模型为 0.4846–0.6169。qwen3:1.7b 为 0.5125；llama3.1:8b 为 0.6088。τ_b 已按单变量并列排除双重并列处理，分别为 0.1022 与 0.2230。Jaccard@k 不再作为可识别的主结果。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多文件读取恢复后，11 格矩阵均由原始 JSONL 重新生成 E1-A 相关与 2,000 次题目级 bootstrap 区间。扩展模型不混入主矩阵，未做多重校正的模型间大小比较不称为显著优势。云端试点仅提示模型范围可能改变结论，不能据本地矩阵说所有 LLM 都不能判断难度。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5 内部干预治理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路线 B 的对象是 audit-m2-20260911 的内部静态审计。登记 54、效果生产 2、成熟度 complete 9 / partial 37 / placeholder 8；七元组四字段未实现说明内部完成度不足。方向仲裁受可见效果生产者结构限制，不能从无真实用户数据推断低冲突率。路线 A 的合成会话与身份不明的编码者结果不作为论文证据。旧稿保持历史版本，新路线 B 章另写。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6 项目修复与实验缺口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学生主页改为提交真实答案到服务器，去掉随机判分、人工演示对错按钮及失败时本地成功反馈。旧 attempt 接口也改为接收答案。数值 7、7.0、x=7 可按规定格式判为同一答案，任意表达式不会被执行。seed.py 补全 Task 导入。恢复家长导出中的同意、风险、宠物和时长上限数据，以及服务端新手进度的旧修复；进程内新手状态仍不跨重启持久化。风险 API 不再承诺未实现的 24 小时刷新或强制人工审核。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四条件分配、测试阶段、独立统一界面、持久化研究记录、去标识化研究导出与撤回已实现并经临时数据库验证。题库标定和本人完整会话验收未完成，但不作为当前离线投稿前置条件。这些工程修复不是人类学习效果验证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本轮亦停止向学生和家长展示 LAI 健康分，删除学生端由该分数驱动的健康庆祝与未经核实的记忆增益百分比。独立研究路由已使用统一界面并不调用游戏化、健康分或风险提示。</w:t>
      </w:r>
    </w:p>
    <w:p>
      <w:pPr>
        <w:pStyle w:val="Heading2"/>
        <w:spacing w:before="120" w:after="80"/>
      </w:pPr>
      <w:r>
        <w:rPr>
          <w:rFonts w:ascii="Liberation Serif" w:hAnsi="Liberation Serif" w:eastAsia="Noto Sans CJK SC" w:cs="Noto Sans CJK SC"/>
          <w:sz w:val="27"/>
        </w:rPr>
        <w:t>当前软件功能和验证范围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作业按班级权限布置。新作业保存固定版本的题干、标准答案、解析和难度，后续题库修改不会改变该版本出题或判分。更新截止时间保留原版本；教师明确重新布置时生成新版本，新版不继承旧提交。学生答案经服务器判分后关联到具体版本、学生和题目；重复提交被拦截，刷新后仍能读取记录。教师可按当前班级活跃学生查看当前或历史版本的提交统计，普通练习不混入作业记录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提交状态以固定版本全部题目已有作答记录为依据，称为“全部已提交”，不表示全部答对、达到掌握标准或取得学习改善。尚未作答的题目撤回审核后显示待教师处理，不能通过缩小分母制造完成。历史未版本化作业不自动回填版本或推断完成。临时数据库与虚构账号的浏览器验收覆盖布置、网络失败恢复、判分与刷新持久化、教师结果、新旧版本隔离和学生版本刷新六项流程，未记录未处理页面错误；该证据仅覆盖列明工程流程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家长时长设置目前只持久化，学习流程尚未执行该上限；页面已纠正说明。家长设置完整浏览器流程、服务端时长计量、长期调度、迟交策略与生产部署恢复仍需核验。历史版本统计使用当前活跃班级名单，未实现历史班级名册。版本发布与答题并发的完整一致性也尚未专门验收。局部流程通过不代表整个应用已验收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 xml:space="preserve">当前本地基线为 </w:t>
      </w:r>
      <w:r>
        <w:rPr>
          <w:rFonts w:ascii="Liberation Mono" w:hAnsi="Liberation Mono" w:eastAsia="Noto Sans CJK SC" w:cs="Noto Sans CJK SC"/>
          <w:sz w:val="22"/>
        </w:rPr>
        <w:t>ccb4e482a5f7d879bc10b345958c143a2988a12e</w:t>
      </w:r>
      <w:r>
        <w:rPr>
          <w:rFonts w:ascii="Liberation Serif" w:hAnsi="Liberation Serif" w:eastAsia="Noto Sans CJK SC" w:cs="Noto Sans CJK SC"/>
          <w:sz w:val="22"/>
        </w:rPr>
        <w:t>，之后仍有工作树修改。历史审阅基线保持不变，是否推送或发给导师未核实，旧日期的操作记录不代表当前提交状态。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7 因果策略和提交状态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第 1 版执行未通过阳性对照标准，实现与冻结文档不一致，故不作解释。原件采用 f43e2a7，不把修订说明插入原件。第 2 版为未执行草案，本人确认和执行前提交尚未完成。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中韩计划和报告各有一个 Markdown 源，研究总档降为仓库外历史存档，旧提交用 Word 与 M4 投稿包移至仓库外存档。本轮没有移动 tag、发布、推送或发送材料。正式交付仍依赖本人角色说明、面谈决定和最终提交冻结。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8 后续工作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10 月 20 日完成计划、报告、本人角色说明、因果策略第 2 版与答复。11 月分别完善 M1 和 M3；M4 是否并入待决定，M2 采用路线 B。原 12 月 1 日人类实验/IRB 计划暂列后续选择，当前优先公开数据和离线分析。未执行事项在答复中按未完成报告，不以门禁通过代替科学核查。</w:t>
      </w:r>
    </w:p>
    <w:p>
      <w:pPr>
        <w:pStyle w:val="Heading1"/>
        <w:spacing w:before="200" w:after="80"/>
      </w:pPr>
      <w:r>
        <w:rPr>
          <w:rFonts w:ascii="Liberation Serif" w:hAnsi="Liberation Serif" w:eastAsia="Noto Sans CJK SC" w:cs="Noto Sans CJK SC"/>
          <w:sz w:val="32"/>
        </w:rPr>
        <w:t>9 工程论文与方法附录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 xml:space="preserve">M2 保留路线 B 内部章，另以 </w:t>
      </w:r>
      <w:r>
        <w:rPr>
          <w:rFonts w:ascii="Liberation Mono" w:hAnsi="Liberation Mono" w:eastAsia="Noto Sans CJK SC" w:cs="Noto Sans CJK SC"/>
          <w:sz w:val="22"/>
        </w:rPr>
        <w:t>M2_engineering_EN.md</w:t>
      </w:r>
      <w:r>
        <w:rPr>
          <w:rFonts w:ascii="Liberation Serif" w:hAnsi="Liberation Serif" w:eastAsia="Noto Sans CJK SC" w:cs="Noto Sans CJK SC"/>
          <w:sz w:val="22"/>
        </w:rPr>
        <w:t xml:space="preserve"> 和对应中文稿整理工程原型。已有证据为 31 个构造符合性案例、54 项内部登记审计及固定外部源码的 7 项引用检查；构造案例不是独立用户评价，有限引用检查不是外部干预全量审计。不能恢复路线 A 的治理效果主张。作者尚未确认软件发布许可证，原型也不能写成已公开发布或广泛采用。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M4 的现行材料为方法纠正与结果附录，说明权重、识别条件和历史负结果；不将它标记为独立投稿就绪。M1/M3 的公开数据与离线结果不支持人类学习提升、最优正确率或动机维持结论。</w:t>
      </w:r>
    </w:p>
    <w:p>
      <w:pPr>
        <w:spacing w:after="120"/>
      </w:pPr>
      <w:r>
        <w:rPr>
          <w:rFonts w:ascii="Liberation Serif" w:hAnsi="Liberation Serif" w:eastAsia="Noto Sans CJK SC" w:cs="Noto Sans CJK SC"/>
          <w:sz w:val="22"/>
        </w:rPr>
        <w:t>题库格式筛选与公式解析分别核验：现有审计覆盖 10,395 个数学片段，未见语法错误，但 40 题有严格模式警告，16 题有内容复核标记。解析成功不保证数学正确、答案一致、表格完整或教学适用。导入保持未审核状态，不能把 3,209 道题写为已批准或已校准题库。</w:t>
      </w:r>
    </w:p>
    <w:sectPr w:rsidR="00FC693F" w:rsidRPr="0006063C" w:rsidSect="00034616">
      <w:pgSz w:w="11906" w:h="16838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Noto Sans CJK SC" w:cs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研究报告_中文版</dc:title>
  <dc:subject>博士学位论文研究计划书 / 研究进展报告 — 适应性学习中难度的可测量化与可治理化</dc:subject>
  <dc:creator>Zexiao Weng</dc:creator>
  <cp:keywords/>
  <dc:description>本文件由唯一 Markdown 源经 tools/docx_build/_md_to_docx.py 生成；未冻结工作稿。统计与工程验证范围见正文，不代表作者已完成最终审阅或投稿。</dc:description>
  <cp:lastModifiedBy>Codex (automated draft revision)</cp:lastModifiedBy>
  <cp:revision>1</cp:revision>
  <dcterms:created xsi:type="dcterms:W3CDTF">2013-12-23T23:15:00Z</dcterms:created>
  <dcterms:modified xsi:type="dcterms:W3CDTF">2013-12-23T23:15:00Z</dcterms:modified>
  <cp:category/>
</cp:coreProperties>
</file>