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  <w:r>
        <w:drawing>
          <wp:inline distT="0" distB="0" distL="0" distR="0">
            <wp:extent cx="2524125" cy="476250"/>
            <wp:effectExtent t="0" r="0" b="0" l="0"/>
            <wp:docPr id="2" name="logo" descr="Logo CivRebar AI" title="Logo CivRebar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rPr>
          <w:rFonts w:ascii="JetBrains Mono" w:cs="JetBrains Mono" w:eastAsia="JetBrains Mono" w:hAnsi="JetBrains Mono"/>
          <w:color w:val="9A5526"/>
          <w:spacing w:val="40"/>
          <w:sz w:val="16"/>
          <w:szCs w:val="16"/>
        </w:rPr>
      </w:pPr>
      <w:r>
        <w:rPr>
          <w:rFonts w:ascii="JetBrains Mono" w:cs="JetBrains Mono" w:eastAsia="JetBrains Mono" w:hAnsi="JetBrains Mono"/>
          <w:color w:val="9A5526"/>
          <w:spacing w:val="40"/>
          <w:sz w:val="16"/>
          <w:szCs w:val="16"/>
        </w:rPr>
        <w:t xml:space="preserve">NOTE DE CALCUL · BÉTON ARMÉ</w:t>
      </w:r>
    </w:p>
    <w:p>
      <w:pPr>
        <w:spacing w:after="120"/>
        <w:rPr>
          <w:rFonts w:ascii="Sora" w:cs="Sora" w:eastAsia="Sora" w:hAnsi="Sora"/>
          <w:b/>
          <w:bCs/>
          <w:sz w:val="56"/>
          <w:szCs w:val="56"/>
        </w:rPr>
      </w:pPr>
      <w:r>
        <w:rPr>
          <w:rFonts w:ascii="Sora" w:cs="Sora" w:eastAsia="Sora" w:hAnsi="Sora"/>
          <w:b/>
          <w:bCs/>
          <w:sz w:val="56"/>
          <w:szCs w:val="56"/>
        </w:rPr>
        <w:t xml:space="preserve">Ferraillage de la poutre P1</w:t>
      </w:r>
    </w:p>
    <w:p>
      <w:pPr>
        <w:spacing w:after="1200"/>
        <w:rPr>
          <w:color w:val="5B6572"/>
          <w:sz w:val="26"/>
          <w:szCs w:val="26"/>
        </w:rPr>
      </w:pPr>
      <w:r>
        <w:rPr>
          <w:color w:val="5B6572"/>
          <w:sz w:val="26"/>
          <w:szCs w:val="26"/>
        </w:rPr>
        <w:t xml:space="preserve">Immeuble R+2 — Plancher haut du rez-de-chaussée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 w:val="off"/>
        </w:trPr>
        <w:tc>
          <w:tcPr>
            <w:tcW w:type="dxa" w:w="26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5B6572"/>
                <w:sz w:val="19"/>
                <w:szCs w:val="19"/>
              </w:rPr>
              <w:t xml:space="preserve">Projet</w:t>
            </w:r>
          </w:p>
        </w:tc>
        <w:tc>
          <w:tcPr>
            <w:tcW w:type="dxa" w:w="7038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0B1624"/>
                <w:sz w:val="19"/>
                <w:szCs w:val="19"/>
              </w:rPr>
              <w:t xml:space="preserve">Immeuble R+2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5B6572"/>
                <w:sz w:val="19"/>
                <w:szCs w:val="19"/>
              </w:rPr>
              <w:t xml:space="preserve">Élément</w:t>
            </w:r>
          </w:p>
        </w:tc>
        <w:tc>
          <w:tcPr>
            <w:tcW w:type="dxa" w:w="7038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0B1624"/>
                <w:sz w:val="19"/>
                <w:szCs w:val="19"/>
              </w:rPr>
              <w:t xml:space="preserve">Poutre P1 — 25 × 50 cm — L = 5,00 m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5B6572"/>
                <w:sz w:val="19"/>
                <w:szCs w:val="19"/>
              </w:rPr>
              <w:t xml:space="preserve">Référence</w:t>
            </w:r>
          </w:p>
        </w:tc>
        <w:tc>
          <w:tcPr>
            <w:tcW w:type="dxa" w:w="7038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0B1624"/>
                <w:sz w:val="19"/>
                <w:szCs w:val="19"/>
              </w:rPr>
              <w:t xml:space="preserve">NC-FER-004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5B6572"/>
                <w:sz w:val="19"/>
                <w:szCs w:val="19"/>
              </w:rPr>
              <w:t xml:space="preserve">Indice</w:t>
            </w:r>
          </w:p>
        </w:tc>
        <w:tc>
          <w:tcPr>
            <w:tcW w:type="dxa" w:w="7038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0B1624"/>
                <w:sz w:val="19"/>
                <w:szCs w:val="19"/>
              </w:rPr>
              <w:t xml:space="preserve">A — première diffusion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5B6572"/>
                <w:sz w:val="19"/>
                <w:szCs w:val="19"/>
              </w:rPr>
              <w:t xml:space="preserve">Date</w:t>
            </w:r>
          </w:p>
        </w:tc>
        <w:tc>
          <w:tcPr>
            <w:tcW w:type="dxa" w:w="7038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0B1624"/>
                <w:sz w:val="19"/>
                <w:szCs w:val="19"/>
              </w:rPr>
              <w:t xml:space="preserve">28 septembre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5B6572"/>
                <w:sz w:val="19"/>
                <w:szCs w:val="19"/>
              </w:rPr>
              <w:t xml:space="preserve">Rédigé par</w:t>
            </w:r>
          </w:p>
        </w:tc>
        <w:tc>
          <w:tcPr>
            <w:tcW w:type="dxa" w:w="7038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0B1624"/>
                <w:sz w:val="19"/>
                <w:szCs w:val="19"/>
              </w:rPr>
              <w:t xml:space="preserve">Prénom Nom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5B6572"/>
                <w:sz w:val="19"/>
                <w:szCs w:val="19"/>
              </w:rPr>
              <w:t xml:space="preserve">Vérifié par</w:t>
            </w:r>
          </w:p>
        </w:tc>
        <w:tc>
          <w:tcPr>
            <w:tcW w:type="dxa" w:w="7038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0B1624"/>
                <w:sz w:val="19"/>
                <w:szCs w:val="19"/>
              </w:rPr>
              <w:t xml:space="preserve">Prénom Nom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Hypothèses</w:t>
      </w:r>
    </w:p>
    <w:p>
      <w:pPr>
        <w:pStyle w:val="Heading2"/>
      </w:pPr>
      <w:r>
        <w:t xml:space="preserve">1.1 Matériaux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tblHeader/>
        </w:trPr>
        <w:tc>
          <w:tcPr>
            <w:tcW w:type="dxa" w:w="30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0B162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FFFFFF"/>
                <w:sz w:val="17"/>
                <w:szCs w:val="17"/>
              </w:rPr>
              <w:t xml:space="preserve">Matériau</w:t>
            </w:r>
          </w:p>
        </w:tc>
        <w:tc>
          <w:tcPr>
            <w:tcW w:type="dxa" w:w="3319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0B162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FFFFFF"/>
                <w:sz w:val="17"/>
                <w:szCs w:val="17"/>
              </w:rPr>
              <w:t xml:space="preserve">Désignation</w:t>
            </w:r>
          </w:p>
        </w:tc>
        <w:tc>
          <w:tcPr>
            <w:tcW w:type="dxa" w:w="3319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0B162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FFFFFF"/>
                <w:sz w:val="17"/>
                <w:szCs w:val="17"/>
              </w:rPr>
              <w:t xml:space="preserve">Valeur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0B1624"/>
                <w:sz w:val="19"/>
                <w:szCs w:val="19"/>
              </w:rPr>
              <w:t xml:space="preserve">Béton</w:t>
            </w:r>
          </w:p>
        </w:tc>
        <w:tc>
          <w:tcPr>
            <w:tcW w:type="dxa" w:w="3319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B1624"/>
                <w:sz w:val="19"/>
                <w:szCs w:val="19"/>
              </w:rPr>
              <w:t xml:space="preserve">C25/30</w:t>
            </w:r>
          </w:p>
        </w:tc>
        <w:tc>
          <w:tcPr>
            <w:tcW w:type="dxa" w:w="3319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B1624"/>
                <w:sz w:val="19"/>
                <w:szCs w:val="19"/>
              </w:rPr>
              <w:t xml:space="preserve">fck = 25 MPa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0B1624"/>
                <w:sz w:val="19"/>
                <w:szCs w:val="19"/>
              </w:rPr>
              <w:t xml:space="preserve">Acier</w:t>
            </w:r>
          </w:p>
        </w:tc>
        <w:tc>
          <w:tcPr>
            <w:tcW w:type="dxa" w:w="3319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B1624"/>
                <w:sz w:val="19"/>
                <w:szCs w:val="19"/>
              </w:rPr>
              <w:t xml:space="preserve">HA B500B</w:t>
            </w:r>
          </w:p>
        </w:tc>
        <w:tc>
          <w:tcPr>
            <w:tcW w:type="dxa" w:w="3319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B1624"/>
                <w:sz w:val="19"/>
                <w:szCs w:val="19"/>
              </w:rPr>
              <w:t xml:space="preserve">fyk = 500 MPa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0B1624"/>
                <w:sz w:val="19"/>
                <w:szCs w:val="19"/>
              </w:rPr>
              <w:t xml:space="preserve">Enrobage</w:t>
            </w:r>
          </w:p>
        </w:tc>
        <w:tc>
          <w:tcPr>
            <w:tcW w:type="dxa" w:w="3319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B1624"/>
                <w:sz w:val="19"/>
                <w:szCs w:val="19"/>
              </w:rPr>
              <w:t xml:space="preserve">Classe XC1</w:t>
            </w:r>
          </w:p>
        </w:tc>
        <w:tc>
          <w:tcPr>
            <w:tcW w:type="dxa" w:w="3319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B1624"/>
                <w:sz w:val="19"/>
                <w:szCs w:val="19"/>
              </w:rPr>
              <w:t xml:space="preserve">c = 3 cm</w:t>
            </w:r>
          </w:p>
        </w:tc>
      </w:tr>
    </w:tbl>
    <w:p>
      <w:pPr>
        <w:pStyle w:val="Heading2"/>
      </w:pPr>
      <w:r>
        <w:t xml:space="preserve">1.2 Charges</w:t>
      </w:r>
    </w:p>
    <w:p>
      <w:pPr>
        <w:pStyle w:val="ListParagraph"/>
        <w:numPr>
          <w:ilvl w:val="0"/>
          <w:numId w:val="2"/>
        </w:numPr>
      </w:pPr>
      <w:r>
        <w:t xml:space="preserve">Charges permanentes G : à compléter.</w:t>
      </w:r>
    </w:p>
    <w:p>
      <w:pPr>
        <w:pStyle w:val="ListParagraph"/>
        <w:numPr>
          <w:ilvl w:val="0"/>
          <w:numId w:val="2"/>
        </w:numPr>
      </w:pPr>
      <w:r>
        <w:t xml:space="preserve">Charges d'exploitation Q : à compléter.</w:t>
      </w:r>
    </w:p>
    <w:p>
      <w:pPr>
        <w:pStyle w:val="Heading1"/>
      </w:pPr>
      <w:r>
        <w:t xml:space="preserve">2. Ferraillage retenu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2319"/>
        <w:gridCol w:w="2319"/>
      </w:tblGrid>
      <w:tr>
        <w:trPr>
          <w:tblHeader/>
        </w:trPr>
        <w:tc>
          <w:tcPr>
            <w:tcW w:type="dxa" w:w="14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0B162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18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0B162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FFFFFF"/>
                <w:sz w:val="17"/>
                <w:szCs w:val="17"/>
              </w:rPr>
              <w:t xml:space="preserve">Ø</w:t>
            </w:r>
          </w:p>
        </w:tc>
        <w:tc>
          <w:tcPr>
            <w:tcW w:type="dxa" w:w="18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0B162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2319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0B162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FFFFFF"/>
                <w:sz w:val="17"/>
                <w:szCs w:val="17"/>
              </w:rPr>
              <w:t xml:space="preserve">Longueur</w:t>
            </w:r>
          </w:p>
        </w:tc>
        <w:tc>
          <w:tcPr>
            <w:tcW w:type="dxa" w:w="2319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0B162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FFFFFF"/>
                <w:sz w:val="17"/>
                <w:szCs w:val="17"/>
              </w:rPr>
              <w:t xml:space="preserve">Poids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0B1624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B1624"/>
                <w:sz w:val="19"/>
                <w:szCs w:val="19"/>
              </w:rPr>
              <w:t xml:space="preserve">HA16</w:t>
            </w:r>
          </w:p>
        </w:tc>
        <w:tc>
          <w:tcPr>
            <w:tcW w:type="dxa" w:w="18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B1624"/>
                <w:sz w:val="19"/>
                <w:szCs w:val="19"/>
              </w:rPr>
              <w:t xml:space="preserve">3</w:t>
            </w:r>
          </w:p>
        </w:tc>
        <w:tc>
          <w:tcPr>
            <w:tcW w:type="dxa" w:w="2319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B1624"/>
                <w:sz w:val="19"/>
                <w:szCs w:val="19"/>
              </w:rPr>
              <w:t xml:space="preserve">5,34 m</w:t>
            </w:r>
          </w:p>
        </w:tc>
        <w:tc>
          <w:tcPr>
            <w:tcW w:type="dxa" w:w="2319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B1624"/>
                <w:sz w:val="19"/>
                <w:szCs w:val="19"/>
              </w:rPr>
              <w:t xml:space="preserve">25,3 kg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0B1624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B1624"/>
                <w:sz w:val="19"/>
                <w:szCs w:val="19"/>
              </w:rPr>
              <w:t xml:space="preserve">HA12</w:t>
            </w:r>
          </w:p>
        </w:tc>
        <w:tc>
          <w:tcPr>
            <w:tcW w:type="dxa" w:w="18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B1624"/>
                <w:sz w:val="19"/>
                <w:szCs w:val="19"/>
              </w:rPr>
              <w:t xml:space="preserve">2</w:t>
            </w:r>
          </w:p>
        </w:tc>
        <w:tc>
          <w:tcPr>
            <w:tcW w:type="dxa" w:w="2319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B1624"/>
                <w:sz w:val="19"/>
                <w:szCs w:val="19"/>
              </w:rPr>
              <w:t xml:space="preserve">5,22 m</w:t>
            </w:r>
          </w:p>
        </w:tc>
        <w:tc>
          <w:tcPr>
            <w:tcW w:type="dxa" w:w="2319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B1624"/>
                <w:sz w:val="19"/>
                <w:szCs w:val="19"/>
              </w:rPr>
              <w:t xml:space="preserve">9,3 kg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0B1624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B1624"/>
                <w:sz w:val="19"/>
                <w:szCs w:val="19"/>
              </w:rPr>
              <w:t xml:space="preserve">HA8</w:t>
            </w:r>
          </w:p>
        </w:tc>
        <w:tc>
          <w:tcPr>
            <w:tcW w:type="dxa" w:w="18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B1624"/>
                <w:sz w:val="19"/>
                <w:szCs w:val="19"/>
              </w:rPr>
              <w:t xml:space="preserve">31</w:t>
            </w:r>
          </w:p>
        </w:tc>
        <w:tc>
          <w:tcPr>
            <w:tcW w:type="dxa" w:w="2319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B1624"/>
                <w:sz w:val="19"/>
                <w:szCs w:val="19"/>
              </w:rPr>
              <w:t xml:space="preserve">1,42 m</w:t>
            </w:r>
          </w:p>
        </w:tc>
        <w:tc>
          <w:tcPr>
            <w:tcW w:type="dxa" w:w="2319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0B1624"/>
                <w:sz w:val="19"/>
                <w:szCs w:val="19"/>
              </w:rPr>
              <w:t xml:space="preserve">17,4 kg</w:t>
            </w:r>
          </w:p>
        </w:tc>
      </w:tr>
    </w:tbl>
    <w:p>
      <w:pPr>
        <w:spacing w:before="120"/>
        <w:rPr>
          <w:i/>
          <w:iCs/>
          <w:color w:val="5B6572"/>
          <w:sz w:val="17"/>
          <w:szCs w:val="17"/>
        </w:rPr>
      </w:pPr>
      <w:r>
        <w:rPr>
          <w:i/>
          <w:iCs/>
          <w:color w:val="5B6572"/>
          <w:sz w:val="17"/>
          <w:szCs w:val="17"/>
        </w:rPr>
        <w:t xml:space="preserve">Valeurs données à titre d'exemple : remplacer par les résultats du calcul.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700" w:right="1134" w:bottom="1300" w:left="1134" w:header="600" w:footer="5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A" w:sz="4" w:space="8"/>
      </w:pBdr>
      <w:tabs>
        <w:tab w:val="right" w:pos="9638"/>
      </w:tabs>
    </w:pPr>
    <w:r>
      <w:rPr>
        <w:rFonts w:ascii="JetBrains Mono" w:cs="JetBrains Mono" w:eastAsia="JetBrains Mono" w:hAnsi="JetBrains Mono"/>
        <w:color w:val="5B6572"/>
        <w:sz w:val="14"/>
        <w:szCs w:val="14"/>
      </w:rPr>
      <w:t xml:space="preserve">CivRebar AI  ·  contact@civrebar.ai  ·  +225 00 00 00 00 00</w:t>
    </w:r>
    <w:r>
      <w:rPr>
        <w:rFonts w:ascii="JetBrains Mono" w:cs="JetBrains Mono" w:eastAsia="JetBrains Mono" w:hAnsi="JetBrains Mono"/>
        <w:color w:val="5B6572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A" w:sz="4" w:space="8"/>
      </w:pBdr>
      <w:tabs>
        <w:tab w:val="right" w:pos="9638"/>
      </w:tabs>
    </w:pPr>
    <w:r>
      <w:rPr>
        <w:rFonts w:ascii="JetBrains Mono" w:cs="JetBrains Mono" w:eastAsia="JetBrains Mono" w:hAnsi="JetBrains Mono"/>
        <w:color w:val="5B6572"/>
        <w:sz w:val="14"/>
        <w:szCs w:val="14"/>
      </w:rPr>
      <w:t xml:space="preserve">CivRebar AI  ·  contact@civrebar.ai  ·  +225 00 00 00 00 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A" w:sz="4" w:space="10"/>
      </w:pBdr>
      <w:spacing w:after="0"/>
    </w:pPr>
    <w:r>
      <w:drawing>
        <wp:inline distT="0" distB="0" distL="0" distR="0">
          <wp:extent cx="1876425" cy="352425"/>
          <wp:effectExtent t="0" r="0" b="0" l="0"/>
          <wp:docPr id="3" name="logo" descr="Logo CivRebar AI" title="Logo CivRebar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60" w:hanging="240"/>
      </w:pPr>
      <w:rPr>
        <w:color w:val="C8773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0B1624"/>
        <w:sz w:val="21"/>
        <w:szCs w:val="21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Sora" w:cs="Sora" w:eastAsia="Sora" w:hAnsi="Sora"/>
      <w:b/>
      <w:bCs/>
      <w:color w:val="0B162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Sora" w:cs="Sora" w:eastAsia="Sora" w:hAnsi="Sora"/>
      <w:b/>
      <w:bCs/>
      <w:color w:val="9A552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494b30e984b49737af0a2f892d591be1afc597f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4b30e984b49737af0a2f892d591be1afc597f9.png"/></Relationships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CivRebar AI — Note de calcul</dc:title>
  <dc:creator>CivRebar AI</dc:creator>
  <cp:lastModifiedBy>Un-named</cp:lastModifiedBy>
  <cp:revision>1</cp:revision>
  <dcterms:created xsi:type="dcterms:W3CDTF">2026-09-28T12:23:24.152Z</dcterms:created>
  <dcterms:modified xsi:type="dcterms:W3CDTF">2026-09-28T12:23:24.152Z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