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524125" cy="476250"/>
            <wp:effectExtent t="0" r="0" b="0" l="0"/>
            <wp:docPr id="2" name="logo" descr="Logo CivRebar AI" title="Logo CivRebar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rPr>
          <w:rFonts w:ascii="JetBrains Mono" w:cs="JetBrains Mono" w:eastAsia="JetBrains Mono" w:hAnsi="JetBrains Mono"/>
          <w:color w:val="9A5526"/>
          <w:spacing w:val="40"/>
          <w:sz w:val="16"/>
          <w:szCs w:val="16"/>
        </w:rPr>
      </w:pPr>
      <w:r>
        <w:rPr>
          <w:rFonts w:ascii="JetBrains Mono" w:cs="JetBrains Mono" w:eastAsia="JetBrains Mono" w:hAnsi="JetBrains Mono"/>
          <w:color w:val="9A5526"/>
          <w:spacing w:val="40"/>
          <w:sz w:val="16"/>
          <w:szCs w:val="16"/>
        </w:rPr>
        <w:t xml:space="preserve">NOTE DE CALCUL · BÉTON ARMÉ</w:t>
      </w:r>
    </w:p>
    <w:p>
      <w:pPr>
        <w:spacing w:after="120"/>
        <w:rPr>
          <w:rFonts w:ascii="Sora" w:cs="Sora" w:eastAsia="Sora" w:hAnsi="Sora"/>
          <w:b/>
          <w:bCs/>
          <w:sz w:val="56"/>
          <w:szCs w:val="56"/>
        </w:rPr>
      </w:pPr>
      <w:r>
        <w:rPr>
          <w:rFonts w:ascii="Sora" w:cs="Sora" w:eastAsia="Sora" w:hAnsi="Sora"/>
          <w:b/>
          <w:bCs/>
          <w:sz w:val="56"/>
          <w:szCs w:val="56"/>
        </w:rPr>
        <w:t xml:space="preserve">Ferraillage de la poutre P1</w:t>
      </w:r>
    </w:p>
    <w:p>
      <w:pPr>
        <w:spacing w:after="1200"/>
        <w:rPr>
          <w:color w:val="5B6572"/>
          <w:sz w:val="26"/>
          <w:szCs w:val="26"/>
        </w:rPr>
      </w:pPr>
      <w:r>
        <w:rPr>
          <w:color w:val="5B6572"/>
          <w:sz w:val="26"/>
          <w:szCs w:val="26"/>
        </w:rPr>
        <w:t xml:space="preserve">Immeuble R+2 — Plancher haut du rez-de-chaussée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Projet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Immeuble R+2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Élément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Poutre P1 — 25 × 50 cm — L = 5,00 m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Référence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NC-FER-004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Indice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A — première diffusion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Date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28 septembre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Rédigé par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Prénom Nom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Vérifié par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Prénom Nom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Hypothèses</w:t>
      </w:r>
    </w:p>
    <w:p>
      <w:pPr>
        <w:pStyle w:val="Heading2"/>
      </w:pPr>
      <w:r>
        <w:t xml:space="preserve">1.1 Matériaux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19"/>
        <w:gridCol w:w="3319"/>
      </w:tblGrid>
      <w:tr>
        <w:trPr>
          <w:tblHeader/>
        </w:trPr>
        <w:tc>
          <w:tcPr>
            <w:tcW w:type="dxa" w:w="30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Matériau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Désignation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Béton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C25/30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fck = 25 MPa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Acier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HA B500B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fyk = 500 MPa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Enrobage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Classe XC1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c = 3 cm</w:t>
            </w:r>
          </w:p>
        </w:tc>
      </w:tr>
    </w:tbl>
    <w:p>
      <w:pPr>
        <w:pStyle w:val="Heading2"/>
      </w:pPr>
      <w:r>
        <w:t xml:space="preserve">1.2 Charges</w:t>
      </w:r>
    </w:p>
    <w:p>
      <w:pPr>
        <w:pStyle w:val="ListParagraph"/>
        <w:numPr>
          <w:ilvl w:val="0"/>
          <w:numId w:val="2"/>
        </w:numPr>
      </w:pPr>
      <w:r>
        <w:t xml:space="preserve">Charges permanentes G : à compléter.</w:t>
      </w:r>
    </w:p>
    <w:p>
      <w:pPr>
        <w:pStyle w:val="ListParagraph"/>
        <w:numPr>
          <w:ilvl w:val="0"/>
          <w:numId w:val="2"/>
        </w:numPr>
      </w:pPr>
      <w:r>
        <w:t xml:space="preserve">Charges d'exploitation Q : à compléter.</w:t>
      </w:r>
    </w:p>
    <w:p>
      <w:pPr>
        <w:pStyle w:val="Heading1"/>
      </w:pPr>
      <w:r>
        <w:t xml:space="preserve">2. Ferraillage retenu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2319"/>
        <w:gridCol w:w="2319"/>
      </w:tblGrid>
      <w:tr>
        <w:trPr>
          <w:tblHeader/>
        </w:trPr>
        <w:tc>
          <w:tcPr>
            <w:tcW w:type="dxa" w:w="14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Rep.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Ø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Longueur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Poids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HA16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3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5,34 m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25,3 kg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HA12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2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5,22 m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9,3 kg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HA8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31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1,42 m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17,4 kg</w:t>
            </w:r>
          </w:p>
        </w:tc>
      </w:tr>
    </w:tbl>
    <w:p>
      <w:pPr>
        <w:spacing w:before="120"/>
        <w:rPr>
          <w:i/>
          <w:iCs/>
          <w:color w:val="5B6572"/>
          <w:sz w:val="17"/>
          <w:szCs w:val="17"/>
        </w:rPr>
      </w:pPr>
      <w:r>
        <w:rPr>
          <w:i/>
          <w:iCs/>
          <w:color w:val="5B6572"/>
          <w:sz w:val="17"/>
          <w:szCs w:val="17"/>
        </w:rPr>
        <w:t xml:space="preserve">Valeurs données à titre d'exemple : remplacer par les résultats du calcul.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700" w:right="1134" w:bottom="1300" w:left="1134" w:header="600" w:footer="5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A" w:sz="4" w:space="8"/>
      </w:pBdr>
      <w:tabs>
        <w:tab w:val="right" w:pos="9638"/>
      </w:tabs>
    </w:pPr>
    <w:r>
      <w:rPr>
        <w:rFonts w:ascii="JetBrains Mono" w:cs="JetBrains Mono" w:eastAsia="JetBrains Mono" w:hAnsi="JetBrains Mono"/>
        <w:color w:val="5B6572"/>
        <w:sz w:val="14"/>
        <w:szCs w:val="14"/>
      </w:rPr>
      <w:t xml:space="preserve">CivRebar AI  ·  contact@civrebar.ai  ·  +225 00 00 00 00 00</w:t>
    </w:r>
    <w:r>
      <w:rPr>
        <w:rFonts w:ascii="JetBrains Mono" w:cs="JetBrains Mono" w:eastAsia="JetBrains Mono" w:hAnsi="JetBrains Mono"/>
        <w:color w:val="5B6572"/>
        <w:sz w:val="14"/>
        <w:szCs w:val="14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A" w:sz="4" w:space="8"/>
      </w:pBdr>
      <w:tabs>
        <w:tab w:val="right" w:pos="9638"/>
      </w:tabs>
    </w:pPr>
    <w:r>
      <w:rPr>
        <w:rFonts w:ascii="JetBrains Mono" w:cs="JetBrains Mono" w:eastAsia="JetBrains Mono" w:hAnsi="JetBrains Mono"/>
        <w:color w:val="5B6572"/>
        <w:sz w:val="14"/>
        <w:szCs w:val="14"/>
      </w:rPr>
      <w:t xml:space="preserve">CivRebar AI  ·  contact@civrebar.ai  ·  +225 00 00 00 00 00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A" w:sz="4" w:space="10"/>
      </w:pBdr>
      <w:spacing w:after="0"/>
    </w:pPr>
    <w:r>
      <w:drawing>
        <wp:inline distT="0" distB="0" distL="0" distR="0">
          <wp:extent cx="1876425" cy="352425"/>
          <wp:effectExtent t="0" r="0" b="0" l="0"/>
          <wp:docPr id="3" name="logo" descr="Logo CivRebar AI" title="Logo CivRebar A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60" w:hanging="240"/>
      </w:pPr>
      <w:rPr>
        <w:color w:val="C8773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0B1624"/>
        <w:sz w:val="21"/>
        <w:szCs w:val="21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ora" w:cs="Sora" w:eastAsia="Sora" w:hAnsi="Sora"/>
      <w:b/>
      <w:bCs/>
      <w:color w:val="0B162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Sora" w:cs="Sora" w:eastAsia="Sora" w:hAnsi="Sora"/>
      <w:b/>
      <w:bCs/>
      <w:color w:val="9A552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494b30e984b49737af0a2f892d591be1afc597f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4b30e984b49737af0a2f892d591be1afc597f9.png"/></Relationships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CivRebar AI — Note de calcul</dc:title>
  <dc:creator>CivRebar AI</dc:creator>
  <cp:lastModifiedBy>Un-named</cp:lastModifiedBy>
  <cp:revision>1</cp:revision>
  <dcterms:created xsi:type="dcterms:W3CDTF">2026-09-28T12:28:10.313Z</dcterms:created>
  <dcterms:modified xsi:type="dcterms:W3CDTF">2026-09-28T12:28:10.313Z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