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Locality richness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80"/>
        <w:gridCol w:w="1097"/>
        <w:gridCol w:w="1092"/>
        <w:gridCol w:w="1080"/>
      </w:tblGrid>
      <w:tr>
        <w:trPr>
          <w:trHeight w:val="630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All species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52.389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4.523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Richness (from dataset)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8"/>
        <w:gridCol w:w="1080"/>
        <w:gridCol w:w="1097"/>
        <w:gridCol w:w="1092"/>
        <w:gridCol w:w="1080"/>
      </w:tblGrid>
      <w:tr>
        <w:trPr>
          <w:trHeight w:val="581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Richness estimate was derived from the dataset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60.747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3.450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IUCN richness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5"/>
        <w:gridCol w:w="1080"/>
        <w:gridCol w:w="1097"/>
        <w:gridCol w:w="1092"/>
        <w:gridCol w:w="1080"/>
      </w:tblGrid>
      <w:tr>
        <w:trPr>
          <w:trHeight w:val="581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Richness estimate derived from IUCN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IUCN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IUCN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2025-01-31T14:43:36Z</dcterms:modified>
  <cp:category/>
</cp:coreProperties>
</file>