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60" w:before="0"/>
      </w:pPr>
      <w:r>
        <w:rPr>
          <w:rFonts w:ascii="Arial" w:cs="Arial" w:eastAsia="Arial" w:hAnsi="Arial"/>
          <w:b/>
          <w:bCs/>
          <w:caps/>
          <w:color w:val="1A2E1A"/>
          <w:sz w:val="40"/>
          <w:szCs w:val="40"/>
        </w:rPr>
        <w:t xml:space="preserve">KÄSIVARSI CULTURAL CENTER</w:t>
      </w:r>
    </w:p>
    <w:p>
      <w:pPr>
        <w:spacing w:after="40" w:before="0"/>
      </w:pPr>
      <w:r>
        <w:rPr>
          <w:rFonts w:ascii="Arial" w:cs="Arial" w:eastAsia="Arial" w:hAnsi="Arial"/>
          <w:i/>
          <w:iCs/>
          <w:color w:val="3D5C38"/>
          <w:sz w:val="21"/>
          <w:szCs w:val="21"/>
        </w:rPr>
        <w:t xml:space="preserve">Kilpisjärvi · Eanodat (Enontekiö) · Finland · 69°N</w:t>
      </w:r>
    </w:p>
    <w:p>
      <w:pPr>
        <w:pBdr>
          <w:bottom w:val="single" w:color="2D5A27" w:sz="6" w:space="8"/>
        </w:pBdr>
        <w:spacing w:after="0" w:before="0"/>
      </w:pPr>
      <w:r>
        <w:rPr>
          <w:rFonts w:ascii="Arial" w:cs="Arial" w:eastAsia="Arial" w:hAnsi="Arial"/>
          <w:color w:val="5A5A5A"/>
          <w:sz w:val="18"/>
          <w:szCs w:val="18"/>
        </w:rPr>
        <w:t xml:space="preserve">Co-funded by the European Union  |  ERDF 2021–2027  |  Finland Ministry of Education &amp; Culture</w:t>
      </w:r>
    </w:p>
    <w:p>
      <w:pPr>
        <w:spacing w:after="0" w:before="300"/>
      </w:pPr>
      <w:r>
        <w:t xml:space="preserve"/>
      </w:r>
    </w:p>
    <w:p>
      <w:pPr>
        <w:tabs>
          <w:tab w:val="right" w:pos="9026"/>
        </w:tabs>
        <w:spacing w:after="60" w:before="0"/>
      </w:pPr>
      <w:r>
        <w:rPr>
          <w:rFonts w:ascii="Arial" w:cs="Arial" w:eastAsia="Arial" w:hAnsi="Arial"/>
          <w:color w:val="5A5A5A"/>
          <w:sz w:val="21"/>
          <w:szCs w:val="21"/>
        </w:rPr>
        <w:t>Kilpisjärvi, Finland	Date: ___________________  2026</w:t>
      </w:r>
    </w:p>
    <w:p>
      <w:pPr>
        <w:spacing w:after="280" w:before="0"/>
      </w:pPr>
      <w:r>
        <w:rPr>
          <w:rFonts w:ascii="Arial" w:cs="Arial" w:eastAsia="Arial" w:hAnsi="Arial"/>
          <w:i/>
          <w:iCs/>
          <w:color w:val="5A5A5A"/>
          <w:sz w:val="21"/>
          <w:szCs w:val="21"/>
        </w:rPr>
        <w:t xml:space="preserve">Reference: KCC/2026/PROP-MH-01</w:t>
      </w:r>
    </w:p>
    <w:p>
      <w:pPr>
        <w:spacing w:after="20" w:before="0"/>
        <w:jc w:val="both"/>
      </w:pPr>
      <w:r>
        <w:rPr>
          <w:rFonts w:ascii="Arial" w:cs="Arial" w:eastAsia="Arial" w:hAnsi="Arial"/>
          <w:b/>
          <w:bCs/>
          <w:i w:val="false"/>
          <w:iCs w:val="false"/>
          <w:color w:val="1A2E1A"/>
          <w:sz w:val="22"/>
          <w:szCs w:val="22"/>
        </w:rPr>
        <w:t xml:space="preserve">To:</w:t>
      </w:r>
    </w:p>
    <w:p>
      <w:pPr>
        <w:spacing w:after="20" w:before="0"/>
        <w:jc w:val="both"/>
      </w:pPr>
      <w:r>
        <w:rPr>
          <w:rFonts w:ascii="Arial" w:cs="Arial" w:eastAsia="Arial" w:hAnsi="Arial"/>
          <w:b w:val="false"/>
          <w:bCs w:val="false"/>
          <w:i w:val="false"/>
          <w:iCs w:val="false"/>
          <w:color w:val="1A2E1A"/>
          <w:sz w:val="22"/>
          <w:szCs w:val="22"/>
        </w:rPr>
        <w:t xml:space="preserve">The Director General</w:t>
      </w:r>
    </w:p>
    <w:p>
      <w:pPr>
        <w:spacing w:after="20" w:before="0"/>
        <w:jc w:val="both"/>
      </w:pPr>
      <w:r>
        <w:rPr>
          <w:rFonts w:ascii="Arial" w:cs="Arial" w:eastAsia="Arial" w:hAnsi="Arial"/>
          <w:b/>
          <w:bCs/>
          <w:i w:val="false"/>
          <w:iCs w:val="false"/>
          <w:color w:val="1A2E1A"/>
          <w:sz w:val="22"/>
          <w:szCs w:val="22"/>
        </w:rPr>
        <w:t xml:space="preserve">Metsähallitus — Parks &amp; Wildlife Finland</w:t>
      </w:r>
    </w:p>
    <w:p>
      <w:pPr>
        <w:spacing w:after="20" w:before="0"/>
        <w:jc w:val="both"/>
      </w:pPr>
      <w:r>
        <w:rPr>
          <w:rFonts w:ascii="Arial" w:cs="Arial" w:eastAsia="Arial" w:hAnsi="Arial"/>
          <w:b w:val="false"/>
          <w:bCs w:val="false"/>
          <w:i w:val="false"/>
          <w:iCs w:val="false"/>
          <w:color w:val="5A5A5A"/>
          <w:sz w:val="22"/>
          <w:szCs w:val="22"/>
        </w:rPr>
        <w:t xml:space="preserve">Vernissakatu 4, FI-01300 Vantaa, Finland</w:t>
      </w:r>
    </w:p>
    <w:p>
      <w:pPr>
        <w:spacing w:after="280" w:before="0"/>
        <w:jc w:val="both"/>
      </w:pPr>
      <w:r>
        <w:rPr>
          <w:rFonts w:ascii="Arial" w:cs="Arial" w:eastAsia="Arial" w:hAnsi="Arial"/>
          <w:b w:val="false"/>
          <w:bCs w:val="false"/>
          <w:i/>
          <w:iCs/>
          <w:color w:val="3D5C38"/>
          <w:sz w:val="22"/>
          <w:szCs w:val="22"/>
        </w:rPr>
        <w:t xml:space="preserve">kirjaamo@metsa.fi</w:t>
      </w:r>
    </w:p>
    <w:p>
      <w:pPr>
        <w:pBdr>
          <w:top w:val="single" w:color="C8D8C4" w:sz="2" w:space="6"/>
          <w:left w:val="single" w:color="2D5A27" w:sz="8" w:space="10"/>
          <w:bottom w:val="single" w:color="C8D8C4" w:sz="2" w:space="6"/>
          <w:right w:val="single" w:color="C8D8C4" w:sz="2" w:space="6"/>
        </w:pBdr>
        <w:shd w:fill="F4F7F3" w:val="clear"/>
        <w:spacing w:after="0" w:before="0"/>
        <w:ind w:left="160"/>
      </w:pPr>
      <w:r>
        <w:rPr>
          <w:rFonts w:ascii="Arial" w:cs="Arial" w:eastAsia="Arial" w:hAnsi="Arial"/>
          <w:b/>
          <w:bCs/>
          <w:color w:val="2D5A27"/>
          <w:sz w:val="23"/>
          <w:szCs w:val="23"/>
        </w:rPr>
        <w:t xml:space="preserve">Subject:  </w:t>
      </w:r>
      <w:r>
        <w:rPr>
          <w:rFonts w:ascii="Arial" w:cs="Arial" w:eastAsia="Arial" w:hAnsi="Arial"/>
          <w:b/>
          <w:bCs/>
          <w:color w:val="1A2E1A"/>
          <w:sz w:val="23"/>
          <w:szCs w:val="23"/>
        </w:rPr>
        <w:t xml:space="preserve">Formal Proposal for the Lease, Rental, or Acquisition of the Kilpisjärvi Luontokeskus (Nature Centre) Building for Cultural Heritage Use</w:t>
      </w:r>
    </w:p>
    <w:p>
      <w:pPr>
        <w:spacing w:after="0" w:before="280"/>
      </w:pPr>
      <w:r>
        <w:t xml:space="preserve"/>
      </w:r>
    </w:p>
    <w:p>
      <w:pPr>
        <w:spacing w:after="200" w:before="0"/>
        <w:jc w:val="both"/>
      </w:pPr>
      <w:r>
        <w:rPr>
          <w:rFonts w:ascii="Arial" w:cs="Arial" w:eastAsia="Arial" w:hAnsi="Arial"/>
          <w:b/>
          <w:bCs/>
          <w:i w:val="false"/>
          <w:iCs w:val="false"/>
          <w:color w:val="1A2E1A"/>
          <w:sz w:val="22"/>
          <w:szCs w:val="22"/>
        </w:rPr>
        <w:t xml:space="preserve">Dear Director General and the Leadership of Metsähallitus,</w:t>
      </w:r>
    </w:p>
    <w:p>
      <w:pPr>
        <w:spacing w:after="160" w:before="80"/>
        <w:jc w:val="both"/>
      </w:pPr>
      <w:r>
        <w:rPr>
          <w:rFonts w:ascii="Arial" w:cs="Arial" w:eastAsia="Arial" w:hAnsi="Arial"/>
          <w:b w:val="false"/>
          <w:bCs w:val="false"/>
          <w:i w:val="false"/>
          <w:iCs w:val="false"/>
          <w:color w:val="5A5A5A"/>
          <w:sz w:val="22"/>
          <w:szCs w:val="22"/>
        </w:rPr>
        <w:t xml:space="preserve">On behalf of Käsivarsi Cultural Center, I am writing to you with a proposal of genuine significance — one that I believe represents a rare and compelling opportunity for both our organizations to achieve something neither could accomplish alone.</w:t>
      </w:r>
    </w:p>
    <w:p>
      <w:pPr>
        <w:spacing w:after="160" w:before="80"/>
        <w:jc w:val="both"/>
      </w:pPr>
      <w:r>
        <w:rPr>
          <w:rFonts w:ascii="Arial" w:cs="Arial" w:eastAsia="Arial" w:hAnsi="Arial"/>
          <w:b w:val="false"/>
          <w:bCs w:val="false"/>
          <w:i w:val="false"/>
          <w:iCs w:val="false"/>
          <w:color w:val="5A5A5A"/>
          <w:sz w:val="22"/>
          <w:szCs w:val="22"/>
        </w:rPr>
        <w:t xml:space="preserve">Käsivarsi Cultural Center is a Sámi cultural heritage institution founded by Juha Tornensis, located at Kilpisjärvi in the Eanodat (Enontekiö) region of northern Finland. The center is co-funded by the European Union under the ERDF 2021–2027 framework and supported by the Finland Ministry of Education and Culture. We open our Phase 1 grounds in Autumn 2026, bringing traditional Sámi structures and guided cultural programs to one of the most significant indigenous landscapes in the Nordic region.</w:t>
      </w:r>
    </w:p>
    <w:p>
      <w:pPr>
        <w:spacing w:after="160" w:before="80"/>
        <w:jc w:val="both"/>
      </w:pPr>
      <w:r>
        <w:rPr>
          <w:rFonts w:ascii="Arial" w:cs="Arial" w:eastAsia="Arial" w:hAnsi="Arial"/>
          <w:b w:val="false"/>
          <w:bCs w:val="false"/>
          <w:i w:val="false"/>
          <w:iCs w:val="false"/>
          <w:color w:val="5A5A5A"/>
          <w:sz w:val="22"/>
          <w:szCs w:val="22"/>
        </w:rPr>
        <w:t xml:space="preserve">We are writing to you regarding the Kilpisjärvi Luontokeskus — the nature centre building in close proximity to our cultural grounds — and to formally inquire whether Metsähallitus would be open to exploring an arrangement under which this building could be leased, rented, or transferred to Käsivarsi Cultural Center for cultural heritage purposes.</w:t>
      </w:r>
    </w:p>
    <w:p>
      <w:pPr>
        <w:spacing w:after="160" w:before="80"/>
        <w:jc w:val="both"/>
      </w:pPr>
      <w:r>
        <w:rPr>
          <w:rFonts w:ascii="Arial" w:cs="Arial" w:eastAsia="Arial" w:hAnsi="Arial"/>
          <w:b w:val="false"/>
          <w:bCs w:val="false"/>
          <w:i w:val="false"/>
          <w:iCs w:val="false"/>
          <w:color w:val="5A5A5A"/>
          <w:sz w:val="22"/>
          <w:szCs w:val="22"/>
        </w:rPr>
        <w:t xml:space="preserve">We recognize that this is a significant request, and we make it with full respect for Metsähallitus as the steward of Finland's national natural heritage. We believe, however, that a compelling and mutually beneficial case can be made — and we set it out in full in this letter.</w:t>
      </w:r>
    </w:p>
    <w:p>
      <w:pPr>
        <w:spacing w:after="0" w:before="80"/>
      </w:pPr>
      <w:r>
        <w:t xml:space="preserve"/>
      </w:r>
    </w:p>
    <w:p>
      <w:pPr>
        <w:pBdr>
          <w:bottom w:val="single" w:color="C8D8C4" w:sz="3" w:space="4"/>
        </w:pBdr>
        <w:spacing w:after="100" w:before="300"/>
      </w:pPr>
      <w:r>
        <w:rPr>
          <w:rFonts w:ascii="Arial" w:cs="Arial" w:eastAsia="Arial" w:hAnsi="Arial"/>
          <w:b/>
          <w:bCs/>
          <w:color w:val="2D5A27"/>
          <w:sz w:val="24"/>
          <w:szCs w:val="24"/>
        </w:rPr>
        <w:t xml:space="preserve">1.  The Kilpisjärvi Luontokeskus — Current Status and Future Plans</w:t>
      </w:r>
    </w:p>
    <w:p>
      <w:pPr>
        <w:spacing w:after="160" w:before="80"/>
        <w:jc w:val="both"/>
      </w:pPr>
      <w:r>
        <w:rPr>
          <w:rFonts w:ascii="Arial" w:cs="Arial" w:eastAsia="Arial" w:hAnsi="Arial"/>
          <w:b w:val="false"/>
          <w:bCs w:val="false"/>
          <w:i w:val="false"/>
          <w:iCs w:val="false"/>
          <w:color w:val="5A5A5A"/>
          <w:sz w:val="22"/>
          <w:szCs w:val="22"/>
        </w:rPr>
        <w:t xml:space="preserve">The Kilpisjärvi Luontokeskus is a substantial and well-located facility — one that was, in its active years, a meaningful point of engagement for visitors to this exceptional Arctic landscape. We understand and acknowledge the important role it played as a nature interpretation center and visitor gateway to the Malla Strict Nature Reserve and the broader fell environment of northwestern Finnish Lapland.</w:t>
      </w:r>
    </w:p>
    <w:p>
      <w:pPr>
        <w:spacing w:after="160" w:before="80"/>
        <w:jc w:val="both"/>
      </w:pPr>
      <w:r>
        <w:rPr>
          <w:rFonts w:ascii="Arial" w:cs="Arial" w:eastAsia="Arial" w:hAnsi="Arial"/>
          <w:b w:val="false"/>
          <w:bCs w:val="false"/>
          <w:i w:val="false"/>
          <w:iCs w:val="false"/>
          <w:color w:val="5A5A5A"/>
          <w:sz w:val="22"/>
          <w:szCs w:val="22"/>
        </w:rPr>
        <w:t xml:space="preserve">We are also aware — as is widely known in the Kilpisjärvi community — that the building has not been in active use for a considerable period of time. We raise this not as a criticism of Metsähallitus, which manages an enormous portfolio of facilities across the entire country, but as an honest observation that forms the foundation of our proposal: a building of this scale, in this location, represents a significant resource that currently sits without active purpose.</w:t>
      </w:r>
    </w:p>
    <w:p>
      <w:pPr>
        <w:pBdr>
          <w:left w:val="single" w:color="2D5A27" w:sz="14" w:space="14"/>
        </w:pBdr>
        <w:spacing w:after="160" w:before="160"/>
        <w:ind w:left="360"/>
      </w:pPr>
      <w:r>
        <w:rPr>
          <w:rFonts w:ascii="Arial" w:cs="Arial" w:eastAsia="Arial" w:hAnsi="Arial"/>
          <w:i/>
          <w:iCs/>
          <w:color w:val="3D5C38"/>
          <w:sz w:val="23"/>
          <w:szCs w:val="23"/>
        </w:rPr>
        <w:t xml:space="preserve">We respectfully ask: what are Metsähallitus's current plans for the Kilpisjärvi Luontokeskus? Is there an active timeline for renovation and reopening under Metsähallitus management? Is the building earmarked for alternative use? Or is its future genuinely uncertain?</w:t>
      </w:r>
    </w:p>
    <w:p>
      <w:pPr>
        <w:spacing w:after="160" w:before="80"/>
        <w:jc w:val="both"/>
      </w:pPr>
      <w:r>
        <w:rPr>
          <w:rFonts w:ascii="Arial" w:cs="Arial" w:eastAsia="Arial" w:hAnsi="Arial"/>
          <w:b w:val="false"/>
          <w:bCs w:val="false"/>
          <w:i w:val="false"/>
          <w:iCs w:val="false"/>
          <w:color w:val="5A5A5A"/>
          <w:sz w:val="22"/>
          <w:szCs w:val="22"/>
        </w:rPr>
        <w:t xml:space="preserve">We ask these questions not to presume anything, but because the answer matters deeply to our planning. If the building's future is undecided, we would very much like to present an alternative that we believe is both compelling and appropriate.</w:t>
      </w:r>
    </w:p>
    <w:p>
      <w:pPr>
        <w:spacing w:after="160" w:before="80"/>
        <w:jc w:val="both"/>
      </w:pPr>
      <w:r>
        <w:rPr>
          <w:rFonts w:ascii="Arial" w:cs="Arial" w:eastAsia="Arial" w:hAnsi="Arial"/>
          <w:b w:val="false"/>
          <w:bCs w:val="false"/>
          <w:i w:val="false"/>
          <w:iCs w:val="false"/>
          <w:color w:val="5A5A5A"/>
          <w:sz w:val="22"/>
          <w:szCs w:val="22"/>
        </w:rPr>
        <w:t xml:space="preserve">A building that stands empty in a remote Arctic location does not benefit from the passage of time. Maintenance costs accumulate. The fabric of the structure is subject to the extreme conditions of the Eanodat climate. Without active stewardship and use, a facility of this kind depreciates — structurally, functionally, and in terms of its cultural and social value to the region.</w:t>
      </w:r>
    </w:p>
    <w:p>
      <w:pPr>
        <w:spacing w:after="160" w:before="80"/>
        <w:jc w:val="both"/>
      </w:pPr>
      <w:r>
        <w:rPr>
          <w:rFonts w:ascii="Arial" w:cs="Arial" w:eastAsia="Arial" w:hAnsi="Arial"/>
          <w:b w:val="false"/>
          <w:bCs w:val="false"/>
          <w:i w:val="false"/>
          <w:iCs w:val="false"/>
          <w:color w:val="5A5A5A"/>
          <w:sz w:val="22"/>
          <w:szCs w:val="22"/>
        </w:rPr>
        <w:t xml:space="preserve">We are proposing to change that.</w:t>
      </w:r>
    </w:p>
    <w:p>
      <w:pPr>
        <w:spacing w:after="0" w:before="60"/>
      </w:pPr>
      <w:r>
        <w:t xml:space="preserve"/>
      </w:r>
    </w:p>
    <w:p>
      <w:pPr>
        <w:pBdr>
          <w:bottom w:val="single" w:color="C8D8C4" w:sz="3" w:space="4"/>
        </w:pBdr>
        <w:spacing w:after="100" w:before="300"/>
      </w:pPr>
      <w:r>
        <w:rPr>
          <w:rFonts w:ascii="Arial" w:cs="Arial" w:eastAsia="Arial" w:hAnsi="Arial"/>
          <w:b/>
          <w:bCs/>
          <w:color w:val="2D5A27"/>
          <w:sz w:val="24"/>
          <w:szCs w:val="24"/>
        </w:rPr>
        <w:t xml:space="preserve">2.  Why the Luontokeskus Is the Ideal Home for Phase 2</w:t>
      </w:r>
    </w:p>
    <w:p>
      <w:pPr>
        <w:spacing w:after="160" w:before="80"/>
        <w:jc w:val="both"/>
      </w:pPr>
      <w:r>
        <w:rPr>
          <w:rFonts w:ascii="Arial" w:cs="Arial" w:eastAsia="Arial" w:hAnsi="Arial"/>
          <w:b w:val="false"/>
          <w:bCs w:val="false"/>
          <w:i w:val="false"/>
          <w:iCs w:val="false"/>
          <w:color w:val="5A5A5A"/>
          <w:sz w:val="22"/>
          <w:szCs w:val="22"/>
        </w:rPr>
        <w:t xml:space="preserve">The development of Käsivarsi Cultural Center is structured in two phases. Phase 1 — our traditional Sámi structures and outdoor cultural grounds — opens in Autumn 2026. Phase 2, as described in our Strategic Planning Document (attached), calls for a Main Cultural Building: a permanent facility to house Sámi heritage exhibitions, a cultural documentation center, a multipurpose hall for up to 60 guests, and pre-booked dining experiences rooted in Arctic culinary tradition.</w:t>
      </w:r>
    </w:p>
    <w:p>
      <w:pPr>
        <w:spacing w:after="160" w:before="80"/>
        <w:jc w:val="both"/>
      </w:pPr>
      <w:r>
        <w:rPr>
          <w:rFonts w:ascii="Arial" w:cs="Arial" w:eastAsia="Arial" w:hAnsi="Arial"/>
          <w:b w:val="false"/>
          <w:bCs w:val="false"/>
          <w:i w:val="false"/>
          <w:iCs w:val="false"/>
          <w:color w:val="5A5A5A"/>
          <w:sz w:val="22"/>
          <w:szCs w:val="22"/>
        </w:rPr>
        <w:t xml:space="preserve">The Kilpisjärvi Luontokeskus building, based on our understanding of its size, layout, and proximity to our grounds, is precisely what Phase 2 requires. We do not need to design or construct a new building from the ground up — which would involve years of planning, permitting, and construction funding. The building already exists. It is already in the right location. With investment in adaptation and interior fitting, it could fulfill the Phase 2 vision immediately.</w:t>
      </w:r>
    </w:p>
    <w:p>
      <w:pPr>
        <w:spacing w:after="160" w:before="80"/>
        <w:jc w:val="both"/>
      </w:pPr>
      <w:r>
        <w:rPr>
          <w:rFonts w:ascii="Arial" w:cs="Arial" w:eastAsia="Arial" w:hAnsi="Arial"/>
          <w:b w:val="false"/>
          <w:bCs w:val="false"/>
          <w:i w:val="false"/>
          <w:iCs w:val="false"/>
          <w:color w:val="5A5A5A"/>
          <w:sz w:val="22"/>
          <w:szCs w:val="22"/>
        </w:rPr>
        <w:t xml:space="preserve">The significance of this cannot be overstated. Phase 2 of the Käsivarsi Cultural Center project — which under normal circumstances might take five to seven years to achieve — could begin almost immediately if an arrangement with Metsähallitus can be reached. This would represent an extraordinary acceleration of our cultural mission.</w:t>
      </w:r>
    </w:p>
    <w:p>
      <w:pPr>
        <w:pBdr>
          <w:left w:val="single" w:color="2D5A27" w:sz="14" w:space="14"/>
        </w:pBdr>
        <w:spacing w:after="160" w:before="160"/>
        <w:ind w:left="360"/>
      </w:pPr>
      <w:r>
        <w:rPr>
          <w:rFonts w:ascii="Arial" w:cs="Arial" w:eastAsia="Arial" w:hAnsi="Arial"/>
          <w:i/>
          <w:iCs/>
          <w:color w:val="3D5C38"/>
          <w:sz w:val="23"/>
          <w:szCs w:val="23"/>
        </w:rPr>
        <w:t xml:space="preserve">The Luontokeskus building would allow us to launch Phase 2 with minimal lead time — bringing forward by years the moment when Kilpisjärvi has a fully operational Sámi cultural institution at its heart.</w:t>
      </w:r>
    </w:p>
    <w:p>
      <w:pPr>
        <w:spacing w:after="160" w:before="80"/>
        <w:jc w:val="both"/>
      </w:pPr>
      <w:r>
        <w:rPr>
          <w:rFonts w:ascii="Arial" w:cs="Arial" w:eastAsia="Arial" w:hAnsi="Arial"/>
          <w:b w:val="false"/>
          <w:bCs w:val="false"/>
          <w:i w:val="false"/>
          <w:iCs w:val="false"/>
          <w:color w:val="5A5A5A"/>
          <w:sz w:val="22"/>
          <w:szCs w:val="22"/>
        </w:rPr>
        <w:t xml:space="preserve">The fit between the building's existing character and our cultural mission is also deeply appropriate. A nature centre is already oriented toward the landscape, toward education, toward the relationship between people and the environment. These are the same values that underpin Sámi cultural heritage. The building would not be repurposed in a jarring or incongruous way — it would be given a purpose that is organically aligned with what it was always intended to represent: a meaningful engagement with the exceptional natural and cultural heritage of northwestern Lapland.</w:t>
      </w:r>
    </w:p>
    <w:p>
      <w:pPr>
        <w:spacing w:after="0" w:before="60"/>
      </w:pPr>
      <w:r>
        <w:t xml:space="preserve"/>
      </w:r>
    </w:p>
    <w:p>
      <w:pPr>
        <w:pBdr>
          <w:bottom w:val="single" w:color="C8D8C4" w:sz="3" w:space="4"/>
        </w:pBdr>
        <w:spacing w:after="100" w:before="300"/>
      </w:pPr>
      <w:r>
        <w:rPr>
          <w:rFonts w:ascii="Arial" w:cs="Arial" w:eastAsia="Arial" w:hAnsi="Arial"/>
          <w:b/>
          <w:bCs/>
          <w:color w:val="2D5A27"/>
          <w:sz w:val="24"/>
          <w:szCs w:val="24"/>
        </w:rPr>
        <w:t xml:space="preserve">3.  Our Formal Proposal</w:t>
      </w:r>
    </w:p>
    <w:p>
      <w:pPr>
        <w:spacing w:after="160" w:before="80"/>
        <w:jc w:val="both"/>
      </w:pPr>
      <w:r>
        <w:rPr>
          <w:rFonts w:ascii="Arial" w:cs="Arial" w:eastAsia="Arial" w:hAnsi="Arial"/>
          <w:b w:val="false"/>
          <w:bCs w:val="false"/>
          <w:i w:val="false"/>
          <w:iCs w:val="false"/>
          <w:color w:val="5A5A5A"/>
          <w:sz w:val="22"/>
          <w:szCs w:val="22"/>
        </w:rPr>
        <w:t xml:space="preserve">We are open to any arrangement that Metsähallitus considers appropriate and fair, and we propose three possible frameworks in order of our preference: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6240"/>
      </w:tblGrid>
      <w:tr>
        <w:trPr>
          <w:tblHeader/>
        </w:trPr>
        <w:tc>
          <w:tcPr>
            <w:tcW w:type="dxa" w:w="480"/>
            <w:tcBorders>
              <w:top w:val="single" w:color="2D5A27" w:sz="1"/>
              <w:left w:val="single" w:color="2D5A27" w:sz="1"/>
              <w:bottom w:val="single" w:color="2D5A27" w:sz="1"/>
              <w:right w:val="single" w:color="2D5A27" w:sz="1"/>
            </w:tcBorders>
            <w:shd w:fill="2D5A27" w:val="clear"/>
            <w:tcMar>
              <w:top w:type="dxa" w:w="100"/>
              <w:left w:type="dxa" w:w="120"/>
              <w:bottom w:type="dxa" w:w="100"/>
              <w:right w:type="dxa" w:w="120"/>
            </w:tcMar>
          </w:tcPr>
          <w:p>
            <w:pPr>
              <w:jc w:val="center"/>
            </w:pPr>
            <w:r>
              <w:rPr>
                <w:rFonts w:ascii="Arial" w:cs="Arial" w:eastAsia="Arial" w:hAnsi="Arial"/>
                <w:b/>
                <w:bCs/>
                <w:color w:val="F4F7F3"/>
                <w:sz w:val="20"/>
                <w:szCs w:val="20"/>
              </w:rPr>
              <w:t xml:space="preserve">#</w:t>
            </w:r>
          </w:p>
        </w:tc>
        <w:tc>
          <w:tcPr>
            <w:tcW w:type="dxa" w:w="2640"/>
            <w:tcBorders>
              <w:top w:val="single" w:color="2D5A27" w:sz="1"/>
              <w:left w:val="single" w:color="2D5A27" w:sz="1"/>
              <w:bottom w:val="single" w:color="2D5A27" w:sz="1"/>
              <w:right w:val="single" w:color="2D5A27" w:sz="1"/>
            </w:tcBorders>
            <w:shd w:fill="2D5A27" w:val="clear"/>
            <w:tcMar>
              <w:top w:type="dxa" w:w="100"/>
              <w:left w:type="dxa" w:w="120"/>
              <w:bottom w:type="dxa" w:w="100"/>
              <w:right w:type="dxa" w:w="120"/>
            </w:tcMar>
          </w:tcPr>
          <w:p>
            <w:r>
              <w:rPr>
                <w:rFonts w:ascii="Arial" w:cs="Arial" w:eastAsia="Arial" w:hAnsi="Arial"/>
                <w:b/>
                <w:bCs/>
                <w:color w:val="F4F7F3"/>
                <w:sz w:val="20"/>
                <w:szCs w:val="20"/>
              </w:rPr>
              <w:t xml:space="preserve">Arrangement</w:t>
            </w:r>
          </w:p>
        </w:tc>
        <w:tc>
          <w:tcPr>
            <w:tcW w:type="dxa" w:w="6240"/>
            <w:tcBorders>
              <w:top w:val="single" w:color="2D5A27" w:sz="1"/>
              <w:left w:val="single" w:color="2D5A27" w:sz="1"/>
              <w:bottom w:val="single" w:color="2D5A27" w:sz="1"/>
              <w:right w:val="single" w:color="2D5A27" w:sz="1"/>
            </w:tcBorders>
            <w:shd w:fill="2D5A27" w:val="clear"/>
            <w:tcMar>
              <w:top w:type="dxa" w:w="100"/>
              <w:left w:type="dxa" w:w="120"/>
              <w:bottom w:type="dxa" w:w="100"/>
              <w:right w:type="dxa" w:w="120"/>
            </w:tcMar>
          </w:tcPr>
          <w:p>
            <w:r>
              <w:rPr>
                <w:rFonts w:ascii="Arial" w:cs="Arial" w:eastAsia="Arial" w:hAnsi="Arial"/>
                <w:b/>
                <w:bCs/>
                <w:color w:val="F4F7F3"/>
                <w:sz w:val="20"/>
                <w:szCs w:val="20"/>
              </w:rPr>
              <w:t xml:space="preserve">Our Position</w:t>
            </w:r>
          </w:p>
        </w:tc>
      </w:tr>
      <w:tr>
        <w:tc>
          <w:tcPr>
            <w:tcW w:type="dxa" w:w="480"/>
            <w:tcBorders>
              <w:top w:val="single" w:color="C8D8C4" w:sz="1"/>
              <w:left w:val="single" w:color="C8D8C4" w:sz="1"/>
              <w:bottom w:val="single" w:color="C8D8C4" w:sz="1"/>
              <w:right w:val="single" w:color="C8D8C4" w:sz="1"/>
            </w:tcBorders>
            <w:shd w:fill="F4F7F3" w:val="clear"/>
            <w:tcMar>
              <w:top w:type="dxa" w:w="100"/>
              <w:left w:type="dxa" w:w="120"/>
              <w:bottom w:type="dxa" w:w="100"/>
              <w:right w:type="dxa" w:w="120"/>
            </w:tcMar>
            <w:vAlign w:val="center"/>
          </w:tcPr>
          <w:p>
            <w:pPr>
              <w:jc w:val="center"/>
            </w:pPr>
            <w:r>
              <w:rPr>
                <w:rFonts w:ascii="Arial" w:cs="Arial" w:eastAsia="Arial" w:hAnsi="Arial"/>
                <w:b/>
                <w:bCs/>
                <w:color w:val="2D5A27"/>
                <w:sz w:val="22"/>
                <w:szCs w:val="22"/>
              </w:rPr>
              <w:t xml:space="preserve">1</w:t>
            </w:r>
          </w:p>
        </w:tc>
        <w:tc>
          <w:tcPr>
            <w:tcW w:type="dxa" w:w="2640"/>
            <w:tcBorders>
              <w:top w:val="single" w:color="C8D8C4" w:sz="1"/>
              <w:left w:val="single" w:color="C8D8C4" w:sz="1"/>
              <w:bottom w:val="single" w:color="C8D8C4" w:sz="1"/>
              <w:right w:val="single" w:color="C8D8C4" w:sz="1"/>
            </w:tcBorders>
            <w:shd w:fill="F4F7F3" w:val="clear"/>
            <w:tcMar>
              <w:top w:type="dxa" w:w="100"/>
              <w:left w:type="dxa" w:w="120"/>
              <w:bottom w:type="dxa" w:w="100"/>
              <w:right w:type="dxa" w:w="120"/>
            </w:tcMar>
          </w:tcPr>
          <w:p>
            <w:r>
              <w:rPr>
                <w:rFonts w:ascii="Arial" w:cs="Arial" w:eastAsia="Arial" w:hAnsi="Arial"/>
                <w:b/>
                <w:bCs/>
                <w:color w:val="1A2E1A"/>
                <w:sz w:val="22"/>
                <w:szCs w:val="22"/>
              </w:rPr>
              <w:t xml:space="preserve">Long-Term Lease</w:t>
            </w:r>
          </w:p>
        </w:tc>
        <w:tc>
          <w:tcPr>
            <w:tcW w:type="dxa" w:w="6240"/>
            <w:tcBorders>
              <w:top w:val="single" w:color="C8D8C4" w:sz="1"/>
              <w:left w:val="single" w:color="C8D8C4" w:sz="1"/>
              <w:bottom w:val="single" w:color="C8D8C4" w:sz="1"/>
              <w:right w:val="single" w:color="C8D8C4" w:sz="1"/>
            </w:tcBorders>
            <w:shd w:fill="F4F7F3" w:val="clear"/>
            <w:tcMar>
              <w:top w:type="dxa" w:w="100"/>
              <w:left w:type="dxa" w:w="120"/>
              <w:bottom w:type="dxa" w:w="100"/>
              <w:right w:type="dxa" w:w="120"/>
            </w:tcMar>
          </w:tcPr>
          <w:p>
            <w:r>
              <w:rPr>
                <w:rFonts w:ascii="Arial" w:cs="Arial" w:eastAsia="Arial" w:hAnsi="Arial"/>
                <w:color w:val="5A5A5A"/>
                <w:sz w:val="21"/>
                <w:szCs w:val="21"/>
              </w:rPr>
              <w:t xml:space="preserve">A long-term lease arrangement (minimum 15–25 years) would allow us to invest meaningfully in the building's renovation and adaptation for cultural use, with full security of tenure for our programs. We would take full responsibility for maintenance, operating costs, and building upkeep. We are prepared to negotiate a fair annual lease rate that reflects the building's condition, location, and the public cultural benefit of the arrangement.</w:t>
            </w:r>
          </w:p>
        </w:tc>
      </w:tr>
      <w:tr>
        <w:tc>
          <w:tcPr>
            <w:tcW w:type="dxa" w:w="480"/>
            <w:tcBorders>
              <w:top w:val="single" w:color="C8D8C4" w:sz="1"/>
              <w:left w:val="single" w:color="C8D8C4" w:sz="1"/>
              <w:bottom w:val="single" w:color="C8D8C4" w:sz="1"/>
              <w:right w:val="single" w:color="C8D8C4"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2D5A27"/>
                <w:sz w:val="22"/>
                <w:szCs w:val="22"/>
              </w:rPr>
              <w:t xml:space="preserve">2</w:t>
            </w:r>
          </w:p>
        </w:tc>
        <w:tc>
          <w:tcPr>
            <w:tcW w:type="dxa" w:w="2640"/>
            <w:tcBorders>
              <w:top w:val="single" w:color="C8D8C4" w:sz="1"/>
              <w:left w:val="single" w:color="C8D8C4" w:sz="1"/>
              <w:bottom w:val="single" w:color="C8D8C4" w:sz="1"/>
              <w:right w:val="single" w:color="C8D8C4" w:sz="1"/>
            </w:tcBorders>
            <w:shd w:fill="FFFFFF" w:val="clear"/>
            <w:tcMar>
              <w:top w:type="dxa" w:w="100"/>
              <w:left w:type="dxa" w:w="120"/>
              <w:bottom w:type="dxa" w:w="100"/>
              <w:right w:type="dxa" w:w="120"/>
            </w:tcMar>
          </w:tcPr>
          <w:p>
            <w:r>
              <w:rPr>
                <w:rFonts w:ascii="Arial" w:cs="Arial" w:eastAsia="Arial" w:hAnsi="Arial"/>
                <w:b/>
                <w:bCs/>
                <w:color w:val="1A2E1A"/>
                <w:sz w:val="22"/>
                <w:szCs w:val="22"/>
              </w:rPr>
              <w:t xml:space="preserve">Rental Agreement</w:t>
            </w:r>
          </w:p>
        </w:tc>
        <w:tc>
          <w:tcPr>
            <w:tcW w:type="dxa" w:w="6240"/>
            <w:tcBorders>
              <w:top w:val="single" w:color="C8D8C4" w:sz="1"/>
              <w:left w:val="single" w:color="C8D8C4" w:sz="1"/>
              <w:bottom w:val="single" w:color="C8D8C4" w:sz="1"/>
              <w:right w:val="single" w:color="C8D8C4" w:sz="1"/>
            </w:tcBorders>
            <w:shd w:fill="FFFFFF" w:val="clear"/>
            <w:tcMar>
              <w:top w:type="dxa" w:w="100"/>
              <w:left w:type="dxa" w:w="120"/>
              <w:bottom w:type="dxa" w:w="100"/>
              <w:right w:type="dxa" w:w="120"/>
            </w:tcMar>
          </w:tcPr>
          <w:p>
            <w:r>
              <w:rPr>
                <w:rFonts w:ascii="Arial" w:cs="Arial" w:eastAsia="Arial" w:hAnsi="Arial"/>
                <w:color w:val="5A5A5A"/>
                <w:sz w:val="21"/>
                <w:szCs w:val="21"/>
              </w:rPr>
              <w:t xml:space="preserve">A rental agreement on terms agreeable to both parties would allow us to begin using the building for cultural programs immediately while a longer-term arrangement is developed. We are prepared for an initial rental period with a renewable term and a clear framework for the building's adaptation and use for Sámi heritage programming.</w:t>
            </w:r>
          </w:p>
        </w:tc>
      </w:tr>
      <w:tr>
        <w:tc>
          <w:tcPr>
            <w:tcW w:type="dxa" w:w="480"/>
            <w:tcBorders>
              <w:top w:val="single" w:color="C8D8C4" w:sz="1"/>
              <w:left w:val="single" w:color="C8D8C4" w:sz="1"/>
              <w:bottom w:val="single" w:color="C8D8C4" w:sz="1"/>
              <w:right w:val="single" w:color="C8D8C4" w:sz="1"/>
            </w:tcBorders>
            <w:shd w:fill="F4F7F3" w:val="clear"/>
            <w:tcMar>
              <w:top w:type="dxa" w:w="100"/>
              <w:left w:type="dxa" w:w="120"/>
              <w:bottom w:type="dxa" w:w="100"/>
              <w:right w:type="dxa" w:w="120"/>
            </w:tcMar>
            <w:vAlign w:val="center"/>
          </w:tcPr>
          <w:p>
            <w:pPr>
              <w:jc w:val="center"/>
            </w:pPr>
            <w:r>
              <w:rPr>
                <w:rFonts w:ascii="Arial" w:cs="Arial" w:eastAsia="Arial" w:hAnsi="Arial"/>
                <w:b/>
                <w:bCs/>
                <w:color w:val="2D5A27"/>
                <w:sz w:val="22"/>
                <w:szCs w:val="22"/>
              </w:rPr>
              <w:t xml:space="preserve">3</w:t>
            </w:r>
          </w:p>
        </w:tc>
        <w:tc>
          <w:tcPr>
            <w:tcW w:type="dxa" w:w="2640"/>
            <w:tcBorders>
              <w:top w:val="single" w:color="C8D8C4" w:sz="1"/>
              <w:left w:val="single" w:color="C8D8C4" w:sz="1"/>
              <w:bottom w:val="single" w:color="C8D8C4" w:sz="1"/>
              <w:right w:val="single" w:color="C8D8C4" w:sz="1"/>
            </w:tcBorders>
            <w:shd w:fill="F4F7F3" w:val="clear"/>
            <w:tcMar>
              <w:top w:type="dxa" w:w="100"/>
              <w:left w:type="dxa" w:w="120"/>
              <w:bottom w:type="dxa" w:w="100"/>
              <w:right w:type="dxa" w:w="120"/>
            </w:tcMar>
          </w:tcPr>
          <w:p>
            <w:r>
              <w:rPr>
                <w:rFonts w:ascii="Arial" w:cs="Arial" w:eastAsia="Arial" w:hAnsi="Arial"/>
                <w:b/>
                <w:bCs/>
                <w:color w:val="1A2E1A"/>
                <w:sz w:val="22"/>
                <w:szCs w:val="22"/>
              </w:rPr>
              <w:t xml:space="preserve">Sale / Transfer</w:t>
            </w:r>
          </w:p>
        </w:tc>
        <w:tc>
          <w:tcPr>
            <w:tcW w:type="dxa" w:w="6240"/>
            <w:tcBorders>
              <w:top w:val="single" w:color="C8D8C4" w:sz="1"/>
              <w:left w:val="single" w:color="C8D8C4" w:sz="1"/>
              <w:bottom w:val="single" w:color="C8D8C4" w:sz="1"/>
              <w:right w:val="single" w:color="C8D8C4" w:sz="1"/>
            </w:tcBorders>
            <w:shd w:fill="F4F7F3" w:val="clear"/>
            <w:tcMar>
              <w:top w:type="dxa" w:w="100"/>
              <w:left w:type="dxa" w:w="120"/>
              <w:bottom w:type="dxa" w:w="100"/>
              <w:right w:type="dxa" w:w="120"/>
            </w:tcMar>
          </w:tcPr>
          <w:p>
            <w:r>
              <w:rPr>
                <w:rFonts w:ascii="Arial" w:cs="Arial" w:eastAsia="Arial" w:hAnsi="Arial"/>
                <w:color w:val="5A5A5A"/>
                <w:sz w:val="21"/>
                <w:szCs w:val="21"/>
              </w:rPr>
              <w:t xml:space="preserve">If Metsähallitus has determined that the Kilpisjärvi Luontokeskus is no longer required for its operations, we would welcome a conversation about the possibility of acquisition. We understand this is subject to Finnish state property legislation and Metsähallitus's own governance requirements, and we would approach any such discussion with full respect for those frameworks.</w:t>
            </w:r>
          </w:p>
        </w:tc>
      </w:tr>
    </w:tbl>
    <w:p>
      <w:pPr>
        <w:spacing w:after="0" w:before="200"/>
      </w:pPr>
      <w:r>
        <w:t xml:space="preserve"/>
      </w:r>
    </w:p>
    <w:p>
      <w:pPr>
        <w:spacing w:after="160" w:before="80"/>
        <w:jc w:val="both"/>
      </w:pPr>
      <w:r>
        <w:rPr>
          <w:rFonts w:ascii="Arial" w:cs="Arial" w:eastAsia="Arial" w:hAnsi="Arial"/>
          <w:b w:val="false"/>
          <w:bCs w:val="false"/>
          <w:i w:val="false"/>
          <w:iCs w:val="false"/>
          <w:color w:val="5A5A5A"/>
          <w:sz w:val="22"/>
          <w:szCs w:val="22"/>
        </w:rPr>
        <w:t xml:space="preserve">We are not committed to any single arrangement in advance. Our primary interest is in finding the solution that works — for Metsähallitus, for the cultural center, and most importantly, for the Sámi heritage community and the Kilpisjärvi region. We approach this as partners, not as parties with competing interests.</w:t>
      </w:r>
    </w:p>
    <w:p>
      <w:pPr>
        <w:spacing w:after="0" w:before="60"/>
      </w:pPr>
      <w:r>
        <w:t xml:space="preserve"/>
      </w:r>
    </w:p>
    <w:p>
      <w:pPr>
        <w:pBdr>
          <w:bottom w:val="single" w:color="C8D8C4" w:sz="3" w:space="4"/>
        </w:pBdr>
        <w:spacing w:after="100" w:before="300"/>
      </w:pPr>
      <w:r>
        <w:rPr>
          <w:rFonts w:ascii="Arial" w:cs="Arial" w:eastAsia="Arial" w:hAnsi="Arial"/>
          <w:b/>
          <w:bCs/>
          <w:color w:val="2D5A27"/>
          <w:sz w:val="24"/>
          <w:szCs w:val="24"/>
        </w:rPr>
        <w:t xml:space="preserve">4.  Why This Matters — The Cultural and Regional Case</w:t>
      </w:r>
    </w:p>
    <w:p>
      <w:pPr>
        <w:spacing w:after="160" w:before="80"/>
        <w:jc w:val="both"/>
      </w:pPr>
      <w:r>
        <w:rPr>
          <w:rFonts w:ascii="Arial" w:cs="Arial" w:eastAsia="Arial" w:hAnsi="Arial"/>
          <w:b w:val="false"/>
          <w:bCs w:val="false"/>
          <w:i w:val="false"/>
          <w:iCs w:val="false"/>
          <w:color w:val="5A5A5A"/>
          <w:sz w:val="22"/>
          <w:szCs w:val="22"/>
        </w:rPr>
        <w:t xml:space="preserve">We want to be direct about the larger significance of what we are proposing, because we believe it transcends the question of a building arrangement.</w:t>
      </w:r>
    </w:p>
    <w:p>
      <w:pPr>
        <w:spacing w:after="160" w:before="80"/>
        <w:jc w:val="both"/>
      </w:pPr>
      <w:r>
        <w:rPr>
          <w:rFonts w:ascii="Arial" w:cs="Arial" w:eastAsia="Arial" w:hAnsi="Arial"/>
          <w:b w:val="false"/>
          <w:bCs w:val="false"/>
          <w:i w:val="false"/>
          <w:iCs w:val="false"/>
          <w:color w:val="5A5A5A"/>
          <w:sz w:val="22"/>
          <w:szCs w:val="22"/>
        </w:rPr>
        <w:t xml:space="preserve">The Sámi people of the Eanodat region have a relationship with this landscape that predates any state institution, any nature reserve designation, and any administrative boundary by thousands of years. Their presence in this fell environment — their reindeer herding routes, their seasonal dwelling sites, their relationship with the Arctic land — is part of the cultural landscape of Kilpisjärvi just as profoundly as its geology or its flora.</w:t>
      </w:r>
    </w:p>
    <w:p>
      <w:pPr>
        <w:spacing w:after="160" w:before="80"/>
        <w:jc w:val="both"/>
      </w:pPr>
      <w:r>
        <w:rPr>
          <w:rFonts w:ascii="Arial" w:cs="Arial" w:eastAsia="Arial" w:hAnsi="Arial"/>
          <w:b w:val="false"/>
          <w:bCs w:val="false"/>
          <w:i w:val="false"/>
          <w:iCs w:val="false"/>
          <w:color w:val="5A5A5A"/>
          <w:sz w:val="22"/>
          <w:szCs w:val="22"/>
        </w:rPr>
        <w:t xml:space="preserve">Metsähallitus, as the steward of Finland's protected natural areas, already recognizes that the natural and cultural heritage of these landscapes are inseparable. Sámi land use rights, traditional knowledge, and cultural presence are formally acknowledged in the management of national parks and strict nature reserves across the Sámi homeland. We are asking Metsähallitus to take the next step — to actively support the institutionalization of Sámi cultural heritage in this landscape by enabling the cultural center to function at its full potential.</w:t>
      </w:r>
    </w:p>
    <w:p>
      <w:pPr>
        <w:pBdr>
          <w:left w:val="single" w:color="2D5A27" w:sz="14" w:space="14"/>
        </w:pBdr>
        <w:spacing w:after="160" w:before="160"/>
        <w:ind w:left="360"/>
      </w:pPr>
      <w:r>
        <w:rPr>
          <w:rFonts w:ascii="Arial" w:cs="Arial" w:eastAsia="Arial" w:hAnsi="Arial"/>
          <w:i/>
          <w:iCs/>
          <w:color w:val="3D5C38"/>
          <w:sz w:val="23"/>
          <w:szCs w:val="23"/>
        </w:rPr>
        <w:t xml:space="preserve">A Sámi cultural institution operating from the Kilpisjärvi Luontokeskus building would bring the natural and cultural heritage of this landscape together under one roof — in a way that honors both, and that would be a source of genuine pride for Finland, for the Sámi people, and for Metsähallitus itself.</w:t>
      </w:r>
    </w:p>
    <w:p>
      <w:pPr>
        <w:spacing w:after="160" w:before="80"/>
        <w:jc w:val="both"/>
      </w:pPr>
      <w:r>
        <w:rPr>
          <w:rFonts w:ascii="Arial" w:cs="Arial" w:eastAsia="Arial" w:hAnsi="Arial"/>
          <w:b w:val="false"/>
          <w:bCs w:val="false"/>
          <w:i w:val="false"/>
          <w:iCs w:val="false"/>
          <w:color w:val="5A5A5A"/>
          <w:sz w:val="22"/>
          <w:szCs w:val="22"/>
        </w:rPr>
        <w:t xml:space="preserve">There is also a straightforward regional argument. Kilpisjärvi is a small, remote community at the far northwestern tip of Finland. It is not a place that benefits from economic and cultural neglect. A fully operational Käsivarsi Cultural Center — with Phase 1 outdoor grounds and a Phase 2 building functioning as a genuine cultural institution with exhibition spaces, programs, and dining — would bring sustained, year-round cultural and economic activity to Kilpisjärvi that would benefit the entire community.</w:t>
      </w:r>
    </w:p>
    <w:p>
      <w:pPr>
        <w:spacing w:after="160" w:before="80"/>
        <w:jc w:val="both"/>
      </w:pPr>
      <w:r>
        <w:rPr>
          <w:rFonts w:ascii="Arial" w:cs="Arial" w:eastAsia="Arial" w:hAnsi="Arial"/>
          <w:b w:val="false"/>
          <w:bCs w:val="false"/>
          <w:i w:val="false"/>
          <w:iCs w:val="false"/>
          <w:color w:val="5A5A5A"/>
          <w:sz w:val="22"/>
          <w:szCs w:val="22"/>
        </w:rPr>
        <w:t xml:space="preserve">A building that currently sits unused generates no cultural value, no economic activity, and no benefit to the region. A building that houses an internationally recognized Sámi cultural institution generates all three — and does so in a way that is aligned with Metsähallitus's own mandate to protect and celebrate the exceptional landscapes of northern Finland.</w:t>
      </w:r>
    </w:p>
    <w:p>
      <w:pPr>
        <w:spacing w:after="0" w:before="60"/>
      </w:pPr>
      <w:r>
        <w:t xml:space="preserve"/>
      </w:r>
    </w:p>
    <w:p>
      <w:pPr>
        <w:pBdr>
          <w:bottom w:val="single" w:color="C8D8C4" w:sz="3" w:space="4"/>
        </w:pBdr>
        <w:spacing w:after="100" w:before="300"/>
      </w:pPr>
      <w:r>
        <w:rPr>
          <w:rFonts w:ascii="Arial" w:cs="Arial" w:eastAsia="Arial" w:hAnsi="Arial"/>
          <w:b/>
          <w:bCs/>
          <w:color w:val="2D5A27"/>
          <w:sz w:val="24"/>
          <w:szCs w:val="24"/>
        </w:rPr>
        <w:t xml:space="preserve">5.  Our Commitments to Metsähallitus</w:t>
      </w:r>
    </w:p>
    <w:p>
      <w:pPr>
        <w:spacing w:after="160" w:before="80"/>
        <w:jc w:val="both"/>
      </w:pPr>
      <w:r>
        <w:rPr>
          <w:rFonts w:ascii="Arial" w:cs="Arial" w:eastAsia="Arial" w:hAnsi="Arial"/>
          <w:b w:val="false"/>
          <w:bCs w:val="false"/>
          <w:i w:val="false"/>
          <w:iCs w:val="false"/>
          <w:color w:val="5A5A5A"/>
          <w:sz w:val="22"/>
          <w:szCs w:val="22"/>
        </w:rPr>
        <w:t xml:space="preserve">Should an arrangement be reached, Käsivarsi Cultural Center formally commits to the following:</w:t>
      </w:r>
    </w:p>
    <w:p>
      <w:pPr>
        <w:spacing w:after="0" w:before="60"/>
      </w:pPr>
      <w:r>
        <w:t xml:space="preserve"/>
      </w:r>
    </w:p>
    <w:p>
      <w:pPr>
        <w:pStyle w:val="ListParagraph"/>
        <w:numPr>
          <w:ilvl w:val="0"/>
          <w:numId w:val="2"/>
        </w:numPr>
        <w:spacing w:after="40" w:before="40"/>
      </w:pPr>
      <w:r>
        <w:rPr>
          <w:rFonts w:ascii="Arial" w:cs="Arial" w:eastAsia="Arial" w:hAnsi="Arial"/>
          <w:color w:val="5A5A5A"/>
          <w:sz w:val="22"/>
          <w:szCs w:val="22"/>
        </w:rPr>
        <w:t xml:space="preserve">Full responsibility for the building's maintenance, operational costs, utilities, and insurance from the date of any agreement.</w:t>
      </w:r>
    </w:p>
    <w:p>
      <w:pPr>
        <w:pStyle w:val="ListParagraph"/>
        <w:numPr>
          <w:ilvl w:val="0"/>
          <w:numId w:val="2"/>
        </w:numPr>
        <w:spacing w:after="40" w:before="40"/>
      </w:pPr>
      <w:r>
        <w:rPr>
          <w:rFonts w:ascii="Arial" w:cs="Arial" w:eastAsia="Arial" w:hAnsi="Arial"/>
          <w:color w:val="5A5A5A"/>
          <w:sz w:val="22"/>
          <w:szCs w:val="22"/>
        </w:rPr>
        <w:t xml:space="preserve">Investment in the building's renovation and adaptation for cultural use, carried out to a professional standard and in consultation with relevant authorities.</w:t>
      </w:r>
    </w:p>
    <w:p>
      <w:pPr>
        <w:pStyle w:val="ListParagraph"/>
        <w:numPr>
          <w:ilvl w:val="0"/>
          <w:numId w:val="2"/>
        </w:numPr>
        <w:spacing w:after="40" w:before="40"/>
      </w:pPr>
      <w:r>
        <w:rPr>
          <w:rFonts w:ascii="Arial" w:cs="Arial" w:eastAsia="Arial" w:hAnsi="Arial"/>
          <w:color w:val="5A5A5A"/>
          <w:sz w:val="22"/>
          <w:szCs w:val="22"/>
        </w:rPr>
        <w:t xml:space="preserve">Use of the building exclusively for Sámi cultural heritage purposes — exhibitions, programs, education, community events, and related activities — in perpetuity under any agreement.</w:t>
      </w:r>
    </w:p>
    <w:p>
      <w:pPr>
        <w:pStyle w:val="ListParagraph"/>
        <w:numPr>
          <w:ilvl w:val="0"/>
          <w:numId w:val="2"/>
        </w:numPr>
        <w:spacing w:after="40" w:before="40"/>
      </w:pPr>
      <w:r>
        <w:rPr>
          <w:rFonts w:ascii="Arial" w:cs="Arial" w:eastAsia="Arial" w:hAnsi="Arial"/>
          <w:color w:val="5A5A5A"/>
          <w:sz w:val="22"/>
          <w:szCs w:val="22"/>
        </w:rPr>
        <w:t xml:space="preserve">Annual reporting to Metsähallitus on the building's use, visitor numbers, and cultural programming, ensuring full transparency.</w:t>
      </w:r>
    </w:p>
    <w:p>
      <w:pPr>
        <w:pStyle w:val="ListParagraph"/>
        <w:numPr>
          <w:ilvl w:val="0"/>
          <w:numId w:val="2"/>
        </w:numPr>
        <w:spacing w:after="40" w:before="40"/>
      </w:pPr>
      <w:r>
        <w:rPr>
          <w:rFonts w:ascii="Arial" w:cs="Arial" w:eastAsia="Arial" w:hAnsi="Arial"/>
          <w:color w:val="5A5A5A"/>
          <w:sz w:val="22"/>
          <w:szCs w:val="22"/>
        </w:rPr>
        <w:t xml:space="preserve">A commitment to maintain the building's external character and respect for the landscape in which it sits, in accordance with any conditions Metsähallitus may reasonably require.</w:t>
      </w:r>
    </w:p>
    <w:p>
      <w:pPr>
        <w:pStyle w:val="ListParagraph"/>
        <w:numPr>
          <w:ilvl w:val="0"/>
          <w:numId w:val="2"/>
        </w:numPr>
        <w:spacing w:after="40" w:before="40"/>
      </w:pPr>
      <w:r>
        <w:rPr>
          <w:rFonts w:ascii="Arial" w:cs="Arial" w:eastAsia="Arial" w:hAnsi="Arial"/>
          <w:color w:val="5A5A5A"/>
          <w:sz w:val="22"/>
          <w:szCs w:val="22"/>
        </w:rPr>
        <w:t xml:space="preserve">Full compliance with all applicable Finnish legislation regarding heritage, planning, and land use.</w:t>
      </w:r>
    </w:p>
    <w:p>
      <w:pPr>
        <w:pStyle w:val="ListParagraph"/>
        <w:numPr>
          <w:ilvl w:val="0"/>
          <w:numId w:val="2"/>
        </w:numPr>
        <w:spacing w:after="40" w:before="40"/>
      </w:pPr>
      <w:r>
        <w:rPr>
          <w:rFonts w:ascii="Arial" w:cs="Arial" w:eastAsia="Arial" w:hAnsi="Arial"/>
          <w:color w:val="5A5A5A"/>
          <w:sz w:val="22"/>
          <w:szCs w:val="22"/>
        </w:rPr>
        <w:t xml:space="preserve">Willingness to incorporate reference to the building's natural heritage history into our cultural programming — honoring the connection between the Sámi people and the protected natural landscape of which they have always been a part.</w:t>
      </w:r>
    </w:p>
    <w:p>
      <w:pPr>
        <w:pStyle w:val="ListParagraph"/>
        <w:numPr>
          <w:ilvl w:val="0"/>
          <w:numId w:val="2"/>
        </w:numPr>
        <w:spacing w:after="40" w:before="40"/>
      </w:pPr>
      <w:r>
        <w:rPr>
          <w:rFonts w:ascii="Arial" w:cs="Arial" w:eastAsia="Arial" w:hAnsi="Arial"/>
          <w:color w:val="5A5A5A"/>
          <w:sz w:val="22"/>
          <w:szCs w:val="22"/>
        </w:rPr>
        <w:t xml:space="preserve">Openness to a collaborative relationship with Metsähallitus on matters of shared interest, including nature and cultural heritage interpretation, visitor management, and community engagement in the Kilpisjärvi area.</w:t>
      </w:r>
    </w:p>
    <w:p>
      <w:pPr>
        <w:spacing w:after="0" w:before="60"/>
      </w:pPr>
      <w:r>
        <w:t xml:space="preserve"/>
      </w:r>
    </w:p>
    <w:p>
      <w:pPr>
        <w:pBdr>
          <w:bottom w:val="single" w:color="C8D8C4" w:sz="3" w:space="4"/>
        </w:pBdr>
        <w:spacing w:after="100" w:before="300"/>
      </w:pPr>
      <w:r>
        <w:rPr>
          <w:rFonts w:ascii="Arial" w:cs="Arial" w:eastAsia="Arial" w:hAnsi="Arial"/>
          <w:b/>
          <w:bCs/>
          <w:color w:val="2D5A27"/>
          <w:sz w:val="24"/>
          <w:szCs w:val="24"/>
        </w:rPr>
        <w:t xml:space="preserve">6.  Proposed Next Steps</w:t>
      </w:r>
    </w:p>
    <w:p>
      <w:pPr>
        <w:spacing w:after="160" w:before="80"/>
        <w:jc w:val="both"/>
      </w:pPr>
      <w:r>
        <w:rPr>
          <w:rFonts w:ascii="Arial" w:cs="Arial" w:eastAsia="Arial" w:hAnsi="Arial"/>
          <w:b w:val="false"/>
          <w:bCs w:val="false"/>
          <w:i w:val="false"/>
          <w:iCs w:val="false"/>
          <w:color w:val="5A5A5A"/>
          <w:sz w:val="22"/>
          <w:szCs w:val="22"/>
        </w:rPr>
        <w:t xml:space="preserve">We are not asking for an immediate decision. We are asking for a conversation.</w:t>
      </w:r>
    </w:p>
    <w:p>
      <w:pPr>
        <w:spacing w:after="160" w:before="80"/>
        <w:jc w:val="both"/>
      </w:pPr>
      <w:r>
        <w:rPr>
          <w:rFonts w:ascii="Arial" w:cs="Arial" w:eastAsia="Arial" w:hAnsi="Arial"/>
          <w:b w:val="false"/>
          <w:bCs w:val="false"/>
          <w:i w:val="false"/>
          <w:iCs w:val="false"/>
          <w:color w:val="5A5A5A"/>
          <w:sz w:val="22"/>
          <w:szCs w:val="22"/>
        </w:rPr>
        <w:t xml:space="preserve">Specifically, we would welcome the opportunity to:</w:t>
      </w:r>
    </w:p>
    <w:p>
      <w:pPr>
        <w:spacing w:after="0" w:before="60"/>
      </w:pPr>
      <w:r>
        <w:t xml:space="preserve"/>
      </w:r>
    </w:p>
    <w:p>
      <w:pPr>
        <w:pStyle w:val="ListParagraph"/>
        <w:numPr>
          <w:ilvl w:val="0"/>
          <w:numId w:val="2"/>
        </w:numPr>
        <w:spacing w:after="40" w:before="40"/>
      </w:pPr>
      <w:r>
        <w:rPr>
          <w:rFonts w:ascii="Arial" w:cs="Arial" w:eastAsia="Arial" w:hAnsi="Arial"/>
          <w:color w:val="5A5A5A"/>
          <w:sz w:val="22"/>
          <w:szCs w:val="22"/>
        </w:rPr>
        <w:t xml:space="preserve">Meet with the relevant representatives of Metsähallitus — at your convenience, at a location of your choosing — to present the Käsivarsi Cultural Center project in full and to discuss the Luontokeskus building in detail.</w:t>
      </w:r>
    </w:p>
    <w:p>
      <w:pPr>
        <w:pStyle w:val="ListParagraph"/>
        <w:numPr>
          <w:ilvl w:val="0"/>
          <w:numId w:val="2"/>
        </w:numPr>
        <w:spacing w:after="40" w:before="40"/>
      </w:pPr>
      <w:r>
        <w:rPr>
          <w:rFonts w:ascii="Arial" w:cs="Arial" w:eastAsia="Arial" w:hAnsi="Arial"/>
          <w:color w:val="5A5A5A"/>
          <w:sz w:val="22"/>
          <w:szCs w:val="22"/>
        </w:rPr>
        <w:t xml:space="preserve">Receive any information Metsähallitus is able to share regarding the building's current condition, maintenance status, and any existing plans for its future use.</w:t>
      </w:r>
    </w:p>
    <w:p>
      <w:pPr>
        <w:pStyle w:val="ListParagraph"/>
        <w:numPr>
          <w:ilvl w:val="0"/>
          <w:numId w:val="2"/>
        </w:numPr>
        <w:spacing w:after="40" w:before="40"/>
      </w:pPr>
      <w:r>
        <w:rPr>
          <w:rFonts w:ascii="Arial" w:cs="Arial" w:eastAsia="Arial" w:hAnsi="Arial"/>
          <w:color w:val="5A5A5A"/>
          <w:sz w:val="22"/>
          <w:szCs w:val="22"/>
        </w:rPr>
        <w:t xml:space="preserve">Understand whether Metsähallitus would in principle be open to any of the three arrangements described in Section 3, so that we can direct our planning accordingly.</w:t>
      </w:r>
    </w:p>
    <w:p>
      <w:pPr>
        <w:pStyle w:val="ListParagraph"/>
        <w:numPr>
          <w:ilvl w:val="0"/>
          <w:numId w:val="2"/>
        </w:numPr>
        <w:spacing w:after="40" w:before="40"/>
      </w:pPr>
      <w:r>
        <w:rPr>
          <w:rFonts w:ascii="Arial" w:cs="Arial" w:eastAsia="Arial" w:hAnsi="Arial"/>
          <w:color w:val="5A5A5A"/>
          <w:sz w:val="22"/>
          <w:szCs w:val="22"/>
        </w:rPr>
        <w:t xml:space="preserve">If there is interest from both sides, initiate a formal feasibility and valuation process together, with legal counsel on both sides engaged at the appropriate stage.</w:t>
      </w:r>
    </w:p>
    <w:p>
      <w:pPr>
        <w:spacing w:after="0" w:before="80"/>
      </w:pPr>
      <w:r>
        <w:t xml:space="preserve"/>
      </w:r>
    </w:p>
    <w:p>
      <w:pPr>
        <w:spacing w:after="160" w:before="80"/>
        <w:jc w:val="both"/>
      </w:pPr>
      <w:r>
        <w:rPr>
          <w:rFonts w:ascii="Arial" w:cs="Arial" w:eastAsia="Arial" w:hAnsi="Arial"/>
          <w:b w:val="false"/>
          <w:bCs w:val="false"/>
          <w:i w:val="false"/>
          <w:iCs w:val="false"/>
          <w:color w:val="5A5A5A"/>
          <w:sz w:val="22"/>
          <w:szCs w:val="22"/>
        </w:rPr>
        <w:t xml:space="preserve">We are conscious that decisions of this kind within a public institution require time, governance processes, and internal consultation. We respect that entirely. We simply ask that the question be taken seriously and that we receive a substantive response at your earliest convenience.</w:t>
      </w:r>
    </w:p>
    <w:p>
      <w:pPr>
        <w:spacing w:after="160" w:before="80"/>
        <w:jc w:val="both"/>
      </w:pPr>
      <w:r>
        <w:rPr>
          <w:rFonts w:ascii="Arial" w:cs="Arial" w:eastAsia="Arial" w:hAnsi="Arial"/>
          <w:b w:val="false"/>
          <w:bCs w:val="false"/>
          <w:i w:val="false"/>
          <w:iCs w:val="false"/>
          <w:color w:val="5A5A5A"/>
          <w:sz w:val="22"/>
          <w:szCs w:val="22"/>
        </w:rPr>
        <w:t xml:space="preserve">We are ready to provide any additional information that would assist Metsähallitus in considering this proposal — including our full Strategic Planning Document, our EU co-funding documentation, letters of support from the Sámi community, or any other materials that would be helpful.</w:t>
      </w:r>
    </w:p>
    <w:p>
      <w:pPr>
        <w:spacing w:after="0" w:before="60"/>
      </w:pPr>
      <w:r>
        <w:t xml:space="preserve"/>
      </w:r>
    </w:p>
    <w:p>
      <w:pPr>
        <w:pBdr>
          <w:bottom w:val="single" w:color="C8D8C4" w:sz="3" w:space="4"/>
        </w:pBdr>
        <w:spacing w:after="100" w:before="300"/>
      </w:pPr>
      <w:r>
        <w:rPr>
          <w:rFonts w:ascii="Arial" w:cs="Arial" w:eastAsia="Arial" w:hAnsi="Arial"/>
          <w:b/>
          <w:bCs/>
          <w:color w:val="2D5A27"/>
          <w:sz w:val="24"/>
          <w:szCs w:val="24"/>
        </w:rPr>
        <w:t xml:space="preserve">7.  Closing</w:t>
      </w:r>
    </w:p>
    <w:p>
      <w:pPr>
        <w:spacing w:after="160" w:before="80"/>
        <w:jc w:val="both"/>
      </w:pPr>
      <w:r>
        <w:rPr>
          <w:rFonts w:ascii="Arial" w:cs="Arial" w:eastAsia="Arial" w:hAnsi="Arial"/>
          <w:b w:val="false"/>
          <w:bCs w:val="false"/>
          <w:i w:val="false"/>
          <w:iCs w:val="false"/>
          <w:color w:val="5A5A5A"/>
          <w:sz w:val="22"/>
          <w:szCs w:val="22"/>
        </w:rPr>
        <w:t xml:space="preserve">We believe that the Kilpisjärvi Luontokeskus building, placed in the service of Sámi cultural heritage, would become something meaningful — not just for the Käsivarsi Cultural Center, but for the entire Eanodat region, for the Sámi people whose homeland this is, and for Finland's international standing as a country that takes indigenous cultural heritage seriously.</w:t>
      </w:r>
    </w:p>
    <w:p>
      <w:pPr>
        <w:spacing w:after="160" w:before="80"/>
        <w:jc w:val="both"/>
      </w:pPr>
      <w:r>
        <w:rPr>
          <w:rFonts w:ascii="Arial" w:cs="Arial" w:eastAsia="Arial" w:hAnsi="Arial"/>
          <w:b w:val="false"/>
          <w:bCs w:val="false"/>
          <w:i w:val="false"/>
          <w:iCs w:val="false"/>
          <w:color w:val="5A5A5A"/>
          <w:sz w:val="22"/>
          <w:szCs w:val="22"/>
        </w:rPr>
        <w:t xml:space="preserve">The opportunity before both our organizations is real, and it is time-sensitive. A building left unused long enough is a building at risk. We would like to be the answer to that risk — and in doing so, to build something that will serve this landscape and its people for generations.</w:t>
      </w:r>
    </w:p>
    <w:p>
      <w:pPr>
        <w:pBdr>
          <w:left w:val="single" w:color="2D5A27" w:sz="14" w:space="14"/>
        </w:pBdr>
        <w:spacing w:after="160" w:before="160"/>
        <w:ind w:left="360"/>
      </w:pPr>
      <w:r>
        <w:rPr>
          <w:rFonts w:ascii="Arial" w:cs="Arial" w:eastAsia="Arial" w:hAnsi="Arial"/>
          <w:i/>
          <w:iCs/>
          <w:color w:val="3D5C38"/>
          <w:sz w:val="23"/>
          <w:szCs w:val="23"/>
        </w:rPr>
        <w:t xml:space="preserve">We write with deep respect for Metsähallitus's role in protecting Finland's natural heritage, and with a genuine conviction that the natural and cultural heritage of the Kilpisjärvi landscape belong together.</w:t>
      </w:r>
    </w:p>
    <w:p>
      <w:pPr>
        <w:spacing w:after="160" w:before="80"/>
        <w:jc w:val="both"/>
      </w:pPr>
      <w:r>
        <w:rPr>
          <w:rFonts w:ascii="Arial" w:cs="Arial" w:eastAsia="Arial" w:hAnsi="Arial"/>
          <w:b w:val="false"/>
          <w:bCs w:val="false"/>
          <w:i w:val="false"/>
          <w:iCs w:val="false"/>
          <w:color w:val="5A5A5A"/>
          <w:sz w:val="22"/>
          <w:szCs w:val="22"/>
        </w:rPr>
        <w:t xml:space="preserve">We look forward to your response and to the possibility of a meeting at your convenience.</w:t>
      </w:r>
    </w:p>
    <w:p>
      <w:pPr>
        <w:spacing w:after="0" w:before="280"/>
      </w:pPr>
      <w:r>
        <w:t xml:space="preserve"/>
      </w:r>
    </w:p>
    <w:p>
      <w:pPr>
        <w:spacing w:after="200" w:before="0"/>
        <w:jc w:val="both"/>
      </w:pPr>
      <w:r>
        <w:rPr>
          <w:rFonts w:ascii="Arial" w:cs="Arial" w:eastAsia="Arial" w:hAnsi="Arial"/>
          <w:b w:val="false"/>
          <w:bCs w:val="false"/>
          <w:i w:val="false"/>
          <w:iCs w:val="false"/>
          <w:color w:val="1A2E1A"/>
          <w:sz w:val="22"/>
          <w:szCs w:val="22"/>
        </w:rPr>
        <w:t xml:space="preserve">Yours respectfully and sincerely,</w:t>
      </w:r>
    </w:p>
    <w:p>
      <w:pPr>
        <w:pBdr>
          <w:bottom w:val="single" w:color="C8D8C4" w:sz="1" w:space="0"/>
        </w:pBdr>
        <w:spacing w:after="400" w:before="0"/>
      </w:pPr>
      <w:r>
        <w:rPr>
          <w:rFonts w:ascii="Arial" w:cs="Arial" w:eastAsia="Arial" w:hAnsi="Arial"/>
          <w:sz w:val="22"/>
          <w:szCs w:val="22"/>
        </w:rPr>
        <w:t xml:space="preserve"/>
      </w:r>
    </w:p>
    <w:p>
      <w:pPr>
        <w:spacing w:after="20" w:before="80"/>
        <w:jc w:val="both"/>
      </w:pPr>
      <w:r>
        <w:rPr>
          <w:rFonts w:ascii="Arial" w:cs="Arial" w:eastAsia="Arial" w:hAnsi="Arial"/>
          <w:b/>
          <w:bCs/>
          <w:i w:val="false"/>
          <w:iCs w:val="false"/>
          <w:color w:val="1A2E1A"/>
          <w:sz w:val="22"/>
          <w:szCs w:val="22"/>
        </w:rPr>
        <w:t xml:space="preserve">Juha Tornensis</w:t>
      </w:r>
    </w:p>
    <w:p>
      <w:pPr>
        <w:spacing w:after="20" w:before="0"/>
        <w:jc w:val="both"/>
      </w:pPr>
      <w:r>
        <w:rPr>
          <w:rFonts w:ascii="Arial" w:cs="Arial" w:eastAsia="Arial" w:hAnsi="Arial"/>
          <w:b w:val="false"/>
          <w:bCs w:val="false"/>
          <w:i w:val="false"/>
          <w:iCs w:val="false"/>
          <w:color w:val="2D5A27"/>
          <w:sz w:val="22"/>
          <w:szCs w:val="22"/>
        </w:rPr>
        <w:t xml:space="preserve">Founder &amp; Director</w:t>
      </w:r>
    </w:p>
    <w:p>
      <w:pPr>
        <w:spacing w:after="20" w:before="0"/>
        <w:jc w:val="both"/>
      </w:pPr>
      <w:r>
        <w:rPr>
          <w:rFonts w:ascii="Arial" w:cs="Arial" w:eastAsia="Arial" w:hAnsi="Arial"/>
          <w:b/>
          <w:bCs/>
          <w:i w:val="false"/>
          <w:iCs w:val="false"/>
          <w:color w:val="1A2E1A"/>
          <w:sz w:val="22"/>
          <w:szCs w:val="22"/>
        </w:rPr>
        <w:t xml:space="preserve">Käsivarsi Cultural Center</w:t>
      </w:r>
    </w:p>
    <w:p>
      <w:pPr>
        <w:spacing w:after="20" w:before="0"/>
        <w:jc w:val="both"/>
      </w:pPr>
      <w:r>
        <w:rPr>
          <w:rFonts w:ascii="Arial" w:cs="Arial" w:eastAsia="Arial" w:hAnsi="Arial"/>
          <w:b w:val="false"/>
          <w:bCs w:val="false"/>
          <w:i/>
          <w:iCs/>
          <w:color w:val="5A5A5A"/>
          <w:sz w:val="22"/>
          <w:szCs w:val="22"/>
        </w:rPr>
        <w:t xml:space="preserve">Kilpisjärvi, Eanodat, Finland</w:t>
      </w:r>
    </w:p>
    <w:p>
      <w:pPr>
        <w:spacing w:after="20" w:before="0"/>
        <w:jc w:val="both"/>
      </w:pPr>
      <w:r>
        <w:rPr>
          <w:rFonts w:ascii="Arial" w:cs="Arial" w:eastAsia="Arial" w:hAnsi="Arial"/>
          <w:b w:val="false"/>
          <w:bCs w:val="false"/>
          <w:i w:val="false"/>
          <w:iCs w:val="false"/>
          <w:color w:val="5A5A5A"/>
          <w:sz w:val="22"/>
          <w:szCs w:val="22"/>
        </w:rPr>
        <w:t xml:space="preserve">Tel: +358 ___________________</w:t>
      </w:r>
    </w:p>
    <w:p>
      <w:pPr>
        <w:spacing w:after="200" w:before="0"/>
        <w:jc w:val="both"/>
      </w:pPr>
      <w:r>
        <w:rPr>
          <w:rFonts w:ascii="Arial" w:cs="Arial" w:eastAsia="Arial" w:hAnsi="Arial"/>
          <w:b w:val="false"/>
          <w:bCs w:val="false"/>
          <w:i w:val="false"/>
          <w:iCs w:val="false"/>
          <w:color w:val="3D5C38"/>
          <w:sz w:val="22"/>
          <w:szCs w:val="22"/>
        </w:rPr>
        <w:t xml:space="preserve">Email: juha@kasivarsi.fi</w:t>
      </w:r>
    </w:p>
    <w:p>
      <w:pPr>
        <w:spacing w:after="0" w:before="200"/>
      </w:pPr>
      <w:r>
        <w:t xml:space="preserve"/>
      </w:r>
    </w:p>
    <w:p>
      <w:pPr>
        <w:pBdr>
          <w:top w:val="single" w:color="C8D8C4" w:sz="2" w:space="8"/>
        </w:pBdr>
        <w:spacing w:after="60" w:before="80"/>
      </w:pPr>
      <w:r>
        <w:rPr>
          <w:rFonts w:ascii="Arial" w:cs="Arial" w:eastAsia="Arial" w:hAnsi="Arial"/>
          <w:b/>
          <w:bCs/>
          <w:color w:val="2D5A27"/>
          <w:sz w:val="21"/>
          <w:szCs w:val="21"/>
        </w:rPr>
        <w:t xml:space="preserve">Enclosures:</w:t>
      </w:r>
    </w:p>
    <w:p>
      <w:pPr>
        <w:pStyle w:val="ListParagraph"/>
        <w:numPr>
          <w:ilvl w:val="0"/>
          <w:numId w:val="2"/>
        </w:numPr>
        <w:spacing w:after="40" w:before="40"/>
      </w:pPr>
      <w:r>
        <w:rPr>
          <w:rFonts w:ascii="Arial" w:cs="Arial" w:eastAsia="Arial" w:hAnsi="Arial"/>
          <w:color w:val="5A5A5A"/>
          <w:sz w:val="22"/>
          <w:szCs w:val="22"/>
        </w:rPr>
        <w:t xml:space="preserve">Käsivarsi Cultural Center — Strategic Planning Document (Mission, Vision, Plans, Objectives, Goals &amp; Pricing)</w:t>
      </w:r>
    </w:p>
    <w:p>
      <w:pPr>
        <w:pStyle w:val="ListParagraph"/>
        <w:numPr>
          <w:ilvl w:val="0"/>
          <w:numId w:val="2"/>
        </w:numPr>
        <w:spacing w:after="40" w:before="40"/>
      </w:pPr>
      <w:r>
        <w:rPr>
          <w:rFonts w:ascii="Arial" w:cs="Arial" w:eastAsia="Arial" w:hAnsi="Arial"/>
          <w:color w:val="5A5A5A"/>
          <w:sz w:val="22"/>
          <w:szCs w:val="22"/>
        </w:rPr>
        <w:t xml:space="preserve">European Union ERDF 2021–2027 Co-funding Confirmation</w:t>
      </w:r>
    </w:p>
    <w:p>
      <w:pPr>
        <w:pStyle w:val="ListParagraph"/>
        <w:numPr>
          <w:ilvl w:val="0"/>
          <w:numId w:val="2"/>
        </w:numPr>
        <w:spacing w:after="40" w:before="40"/>
      </w:pPr>
      <w:r>
        <w:rPr>
          <w:rFonts w:ascii="Arial" w:cs="Arial" w:eastAsia="Arial" w:hAnsi="Arial"/>
          <w:color w:val="5A5A5A"/>
          <w:sz w:val="22"/>
          <w:szCs w:val="22"/>
        </w:rPr>
        <w:t xml:space="preserve">Finland Ministry of Education &amp; Culture Support Letter</w:t>
      </w:r>
    </w:p>
    <w:p>
      <w:pPr>
        <w:pStyle w:val="ListParagraph"/>
        <w:numPr>
          <w:ilvl w:val="0"/>
          <w:numId w:val="2"/>
        </w:numPr>
        <w:spacing w:after="40" w:before="40"/>
      </w:pPr>
      <w:r>
        <w:rPr>
          <w:rFonts w:ascii="Arial" w:cs="Arial" w:eastAsia="Arial" w:hAnsi="Arial"/>
          <w:color w:val="5A5A5A"/>
          <w:sz w:val="22"/>
          <w:szCs w:val="22"/>
        </w:rPr>
        <w:t xml:space="preserve">Site map showing proximity of Luontokeskus building to Käsivarsi Cultural Center grounds</w:t>
      </w:r>
    </w:p>
    <w:p>
      <w:pPr>
        <w:pStyle w:val="ListParagraph"/>
        <w:numPr>
          <w:ilvl w:val="0"/>
          <w:numId w:val="2"/>
        </w:numPr>
        <w:spacing w:after="40" w:before="40"/>
      </w:pPr>
      <w:r>
        <w:rPr>
          <w:rFonts w:ascii="Arial" w:cs="Arial" w:eastAsia="Arial" w:hAnsi="Arial"/>
          <w:color w:val="5A5A5A"/>
          <w:sz w:val="22"/>
          <w:szCs w:val="22"/>
        </w:rPr>
        <w:t xml:space="preserve">Phase 2 Programme Brief — Main Cultural Building Requirements</w:t>
      </w:r>
    </w:p>
    <w:sectPr>
      <w:headerReference w:type="default" r:id="rId7"/>
      <w:footerReference w:type="default" r:id="rId8"/>
      <w:pgSz w:w="12240" w:h="15840" w:orient="portrait"/>
      <w:pgMar w:top="126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C4" w:sz="2" w:space="4"/>
      </w:pBdr>
      <w:tabs>
        <w:tab w:val="right" w:pos="9026"/>
      </w:tabs>
      <w:spacing w:after="0" w:before="80"/>
    </w:pPr>
    <w:r>
      <w:rPr>
        <w:rFonts w:ascii="Arial" w:cs="Arial" w:eastAsia="Arial" w:hAnsi="Arial"/>
        <w:color w:val="5A5A5A"/>
        <w:sz w:val="16"/>
        <w:szCs w:val="16"/>
      </w:rPr>
      <w:t xml:space="preserve">Käsivarsi Cultural Center  |  Kilpisjärvi, Eanodat, Finland  |  Co-funded by the European Union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olor w:val="2D5A27"/>
        <w:sz w:val="18"/>
        <w:szCs w:val="18"/>
      </w:rPr>
      <w:t xml:space="preserve">Käsivarsi Cultural Center</w:t>
    </w:r>
    <w:r>
      <w:rPr>
        <w:rFonts w:ascii="Arial" w:cs="Arial" w:eastAsia="Arial" w:hAnsi="Arial"/>
        <w:i/>
        <w:iCs/>
        <w:color w:val="5A5A5A"/>
        <w:sz w:val="17"/>
        <w:szCs w:val="17"/>
      </w:rPr>
      <w:t xml:space="preserve">	Formal Proposal — Confidential</w:t>
    </w:r>
  </w:p>
  <w:p>
    <w:pPr>
      <w:pBdr>
        <w:bottom w:val="single" w:color="2D5A27" w:sz="4" w:space="4"/>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2026-05-16T01:10:28.082Z</dcterms:created>
  <dcterms:modified xsi:type="dcterms:W3CDTF">2026-05-16T01:10:28.083Z</dcterms:modified>
</cp:coreProperties>
</file>

<file path=docProps/custom.xml><?xml version="1.0" encoding="utf-8"?>
<Properties xmlns="http://schemas.openxmlformats.org/officeDocument/2006/custom-properties" xmlns:vt="http://schemas.openxmlformats.org/officeDocument/2006/docPropsVTypes"/>
</file>