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jc w:val="center"/>
      </w:pPr>
      <w:r>
        <w:rPr>
          <w:rFonts w:ascii="Arial" w:cs="Arial" w:eastAsia="Arial" w:hAnsi="Arial"/>
          <w:b/>
          <w:bCs/>
          <w:caps/>
          <w:color w:val="2A1E10"/>
          <w:sz w:val="60"/>
          <w:szCs w:val="60"/>
        </w:rPr>
        <w:t xml:space="preserve">KÄSIVARSI CULTURAL CENTER</w:t>
      </w:r>
    </w:p>
    <w:p>
      <w:pPr>
        <w:pBdr>
          <w:bottom w:val="single" w:color="B85A28" w:sz="6" w:space="8"/>
        </w:pBdr>
        <w:spacing w:after="300"/>
        <w:jc w:val="center"/>
      </w:pPr>
      <w:r>
        <w:rPr>
          <w:rFonts w:ascii="Arial" w:cs="Arial" w:eastAsia="Arial" w:hAnsi="Arial"/>
          <w:i/>
          <w:iCs/>
          <w:color w:val="B85A28"/>
          <w:sz w:val="24"/>
          <w:szCs w:val="24"/>
        </w:rPr>
        <w:t xml:space="preserve">Kilpisjärvi · Eanodat · Finland · 69°N</w:t>
      </w:r>
    </w:p>
    <w:p>
      <w:pPr>
        <w:spacing w:after="0" w:before="200"/>
      </w:pPr>
      <w:r>
        <w:t xml:space="preserve"/>
      </w:r>
    </w:p>
    <w:p>
      <w:pPr>
        <w:spacing w:after="80"/>
        <w:jc w:val="center"/>
      </w:pPr>
      <w:r>
        <w:rPr>
          <w:rFonts w:ascii="Arial" w:cs="Arial" w:eastAsia="Arial" w:hAnsi="Arial"/>
          <w:b/>
          <w:bCs/>
          <w:caps/>
          <w:color w:val="5C4A32"/>
          <w:sz w:val="32"/>
          <w:szCs w:val="32"/>
        </w:rPr>
        <w:t xml:space="preserve">STRATEGIC PLANNING DOCUMENT</w:t>
      </w:r>
    </w:p>
    <w:p>
      <w:pPr>
        <w:spacing w:after="600"/>
        <w:jc w:val="center"/>
      </w:pPr>
      <w:r>
        <w:rPr>
          <w:rFonts w:ascii="Arial" w:cs="Arial" w:eastAsia="Arial" w:hAnsi="Arial"/>
          <w:i/>
          <w:iCs/>
          <w:color w:val="7A6E62"/>
          <w:sz w:val="22"/>
          <w:szCs w:val="22"/>
        </w:rPr>
        <w:t xml:space="preserve">Mission · Vision · Plans · Objectives · Goals · Pricing</w:t>
      </w:r>
    </w:p>
    <w:p>
      <w:pPr>
        <w:spacing w:after="0" w:before="600"/>
      </w:pPr>
      <w:r>
        <w:t xml:space="preserve"/>
      </w:r>
    </w:p>
    <w:p>
      <w:pPr>
        <w:pBdr>
          <w:top w:val="single" w:color="D4C4B0" w:sz="2" w:space="6"/>
        </w:pBdr>
        <w:spacing w:after="60" w:before="120"/>
        <w:jc w:val="center"/>
      </w:pPr>
      <w:r>
        <w:rPr>
          <w:rFonts w:ascii="Arial" w:cs="Arial" w:eastAsia="Arial" w:hAnsi="Arial"/>
          <w:color w:val="7A6E62"/>
          <w:sz w:val="20"/>
          <w:szCs w:val="20"/>
        </w:rPr>
        <w:t xml:space="preserve">Founded by Juha Tornensis  |  Opening Autumn 2026</w:t>
      </w:r>
    </w:p>
    <w:p>
      <w:pPr>
        <w:spacing w:after="60"/>
        <w:jc w:val="center"/>
      </w:pPr>
      <w:r>
        <w:rPr>
          <w:rFonts w:ascii="Arial" w:cs="Arial" w:eastAsia="Arial" w:hAnsi="Arial"/>
          <w:color w:val="7A6E62"/>
          <w:sz w:val="20"/>
          <w:szCs w:val="20"/>
        </w:rPr>
        <w:t xml:space="preserve">Co-funded by the European Union  |  ERDF 2021–2027</w:t>
      </w:r>
    </w:p>
    <w:p>
      <w:pPr>
        <w:spacing w:after="400"/>
        <w:jc w:val="center"/>
      </w:pPr>
      <w:r>
        <w:rPr>
          <w:rFonts w:ascii="Arial" w:cs="Arial" w:eastAsia="Arial" w:hAnsi="Arial"/>
          <w:color w:val="7A6E62"/>
          <w:sz w:val="20"/>
          <w:szCs w:val="20"/>
        </w:rPr>
        <w:t xml:space="preserve">Finland Ministry of Education &amp; Culture</w:t>
      </w:r>
    </w:p>
    <w:p>
      <w:pPr>
        <w:spacing w:after="0"/>
      </w:pPr>
      <w:r>
        <w:br/>
      </w:r>
    </w:p>
    <w:p>
      <w:pPr>
        <w:pBdr>
          <w:bottom w:val="single" w:color="B85A28" w:sz="6" w:space="6"/>
        </w:pBdr>
        <w:spacing w:after="160" w:before="400"/>
      </w:pPr>
      <w:r>
        <w:rPr>
          <w:rFonts w:ascii="Arial" w:cs="Arial" w:eastAsia="Arial" w:hAnsi="Arial"/>
          <w:b/>
          <w:bCs/>
          <w:caps/>
          <w:color w:val="2A1E10"/>
          <w:sz w:val="36"/>
          <w:szCs w:val="36"/>
        </w:rPr>
        <w:t xml:space="preserve">1.  Introduction</w:t>
      </w:r>
    </w:p>
    <w:p>
      <w:pPr>
        <w:spacing w:after="120" w:before="80"/>
        <w:ind w:left="0"/>
        <w:jc w:val="left"/>
      </w:pPr>
      <w:r>
        <w:rPr>
          <w:rFonts w:ascii="Arial" w:cs="Arial" w:eastAsia="Arial" w:hAnsi="Arial"/>
          <w:color w:val="7A6E62"/>
          <w:sz w:val="22"/>
          <w:szCs w:val="22"/>
        </w:rPr>
        <w:t xml:space="preserve">Käsivarsi Cultural Center is a living cultural institution situated at Kilpisjärvi in the Eanodat (Enontekiö) region of northern Finland, at latitude 69°N. The center was brought into being by Juha Tornensis as a response to a profound need: to create a permanent, rooted, and respectful space where Sámi cultural heritage is not merely preserved in archives, but lived, transmitted, and encountered directly by people of all backgrounds.</w:t>
      </w:r>
    </w:p>
    <w:p>
      <w:pPr>
        <w:spacing w:after="120" w:before="80"/>
        <w:ind w:left="0"/>
        <w:jc w:val="left"/>
      </w:pPr>
      <w:r>
        <w:rPr>
          <w:rFonts w:ascii="Arial" w:cs="Arial" w:eastAsia="Arial" w:hAnsi="Arial"/>
          <w:color w:val="7A6E62"/>
          <w:sz w:val="22"/>
          <w:szCs w:val="22"/>
        </w:rPr>
        <w:t xml:space="preserve">The Sámi people are one of the world's oldest indigenous peoples, with a continuous presence in the Eanodat region spanning thousands of years. Their knowledge systems, oral traditions, craftsmanship (duodji), spiritual relationship with the land, and seasonal way of life represent an irreplaceable thread of human heritage. Käsivarsi Cultural Center was conceived to honour this legacy and to serve as a living bridge between the Sámi community, future generations, and the wider world.</w:t>
      </w:r>
    </w:p>
    <w:p>
      <w:pPr>
        <w:spacing w:after="120" w:before="80"/>
        <w:ind w:left="0"/>
        <w:jc w:val="left"/>
      </w:pPr>
      <w:r>
        <w:rPr>
          <w:rFonts w:ascii="Arial" w:cs="Arial" w:eastAsia="Arial" w:hAnsi="Arial"/>
          <w:color w:val="7A6E62"/>
          <w:sz w:val="22"/>
          <w:szCs w:val="22"/>
        </w:rPr>
        <w:t xml:space="preserve">This document sets out the strategic framework for the center — articulating its mission and vision, the plans for its physical development across two phases, the specific objectives and goals that guide its work, and the pricing model that will allow it to operate sustainably while remaining accessible.</w:t>
      </w:r>
    </w:p>
    <w:p>
      <w:pPr>
        <w:pBdr>
          <w:bottom w:val="single" w:color="B85A28" w:sz="6" w:space="6"/>
        </w:pBdr>
        <w:spacing w:after="160" w:before="400"/>
      </w:pPr>
      <w:r>
        <w:rPr>
          <w:rFonts w:ascii="Arial" w:cs="Arial" w:eastAsia="Arial" w:hAnsi="Arial"/>
          <w:b/>
          <w:bCs/>
          <w:caps/>
          <w:color w:val="2A1E10"/>
          <w:sz w:val="36"/>
          <w:szCs w:val="36"/>
        </w:rPr>
        <w:t xml:space="preserve">2.  Mission Statement</w:t>
      </w:r>
    </w:p>
    <w:p>
      <w:pPr>
        <w:pBdr>
          <w:left w:val="single" w:color="B85A28" w:sz="12" w:space="12"/>
        </w:pBdr>
        <w:spacing w:after="200" w:before="200"/>
        <w:ind w:left="360"/>
      </w:pPr>
      <w:r>
        <w:rPr>
          <w:rFonts w:ascii="Arial" w:cs="Arial" w:eastAsia="Arial" w:hAnsi="Arial"/>
          <w:i/>
          <w:iCs/>
          <w:color w:val="5C4A32"/>
          <w:sz w:val="23"/>
          <w:szCs w:val="23"/>
        </w:rPr>
        <w:t xml:space="preserve">To preserve, transmit, and celebrate the living cultural heritage of the Sámi people through authentic structures, guided programs, community engagement, and deep respect for indigenous knowledge — at the land where this culture has always belonged.</w:t>
      </w:r>
    </w:p>
    <w:p>
      <w:pPr>
        <w:spacing w:after="120" w:before="80"/>
        <w:ind w:left="0"/>
        <w:jc w:val="left"/>
      </w:pPr>
      <w:r>
        <w:rPr>
          <w:rFonts w:ascii="Arial" w:cs="Arial" w:eastAsia="Arial" w:hAnsi="Arial"/>
          <w:color w:val="7A6E62"/>
          <w:sz w:val="22"/>
          <w:szCs w:val="22"/>
        </w:rPr>
        <w:t xml:space="preserve">Our mission rests on four foundational pillars:</w:t>
      </w:r>
    </w:p>
    <w:p>
      <w:pPr>
        <w:pStyle w:val="ListParagraph"/>
        <w:numPr>
          <w:ilvl w:val="0"/>
          <w:numId w:val="2"/>
        </w:numPr>
        <w:spacing w:after="40" w:before="40"/>
      </w:pPr>
      <w:r>
        <w:rPr>
          <w:rFonts w:ascii="Arial" w:cs="Arial" w:eastAsia="Arial" w:hAnsi="Arial"/>
          <w:color w:val="7A6E62"/>
          <w:sz w:val="22"/>
          <w:szCs w:val="22"/>
        </w:rPr>
        <w:t xml:space="preserve">Preservation — protecting and maintaining authentic Sámi structures, artifacts, and oral traditions for future generations.</w:t>
      </w:r>
    </w:p>
    <w:p>
      <w:pPr>
        <w:pStyle w:val="ListParagraph"/>
        <w:numPr>
          <w:ilvl w:val="0"/>
          <w:numId w:val="2"/>
        </w:numPr>
        <w:spacing w:after="40" w:before="40"/>
      </w:pPr>
      <w:r>
        <w:rPr>
          <w:rFonts w:ascii="Arial" w:cs="Arial" w:eastAsia="Arial" w:hAnsi="Arial"/>
          <w:color w:val="7A6E62"/>
          <w:sz w:val="22"/>
          <w:szCs w:val="22"/>
        </w:rPr>
        <w:t xml:space="preserve">Transmission — sharing Sámi knowledge, language, and lifeways through guided programs, educational partnerships, and community events.</w:t>
      </w:r>
    </w:p>
    <w:p>
      <w:pPr>
        <w:pStyle w:val="ListParagraph"/>
        <w:numPr>
          <w:ilvl w:val="0"/>
          <w:numId w:val="2"/>
        </w:numPr>
        <w:spacing w:after="40" w:before="40"/>
      </w:pPr>
      <w:r>
        <w:rPr>
          <w:rFonts w:ascii="Arial" w:cs="Arial" w:eastAsia="Arial" w:hAnsi="Arial"/>
          <w:color w:val="7A6E62"/>
          <w:sz w:val="22"/>
          <w:szCs w:val="22"/>
        </w:rPr>
        <w:t xml:space="preserve">Respect — approaching all cultural content with the consent, guidance, and active participation of the Sámi community.</w:t>
      </w:r>
    </w:p>
    <w:p>
      <w:pPr>
        <w:pStyle w:val="ListParagraph"/>
        <w:numPr>
          <w:ilvl w:val="0"/>
          <w:numId w:val="2"/>
        </w:numPr>
        <w:spacing w:after="40" w:before="40"/>
      </w:pPr>
      <w:r>
        <w:rPr>
          <w:rFonts w:ascii="Arial" w:cs="Arial" w:eastAsia="Arial" w:hAnsi="Arial"/>
          <w:color w:val="7A6E62"/>
          <w:sz w:val="22"/>
          <w:szCs w:val="22"/>
        </w:rPr>
        <w:t xml:space="preserve">Sustainability — operating in a financially viable way that allows the center to serve its cultural mission without compromise.</w:t>
      </w:r>
    </w:p>
    <w:p>
      <w:pPr>
        <w:pBdr>
          <w:bottom w:val="single" w:color="B85A28" w:sz="6" w:space="6"/>
        </w:pBdr>
        <w:spacing w:after="160" w:before="400"/>
      </w:pPr>
      <w:r>
        <w:rPr>
          <w:rFonts w:ascii="Arial" w:cs="Arial" w:eastAsia="Arial" w:hAnsi="Arial"/>
          <w:b/>
          <w:bCs/>
          <w:caps/>
          <w:color w:val="2A1E10"/>
          <w:sz w:val="36"/>
          <w:szCs w:val="36"/>
        </w:rPr>
        <w:t xml:space="preserve">3.  Vision</w:t>
      </w:r>
    </w:p>
    <w:p>
      <w:pPr>
        <w:pBdr>
          <w:left w:val="single" w:color="3A6A5E" w:sz="12" w:space="12"/>
        </w:pBdr>
        <w:spacing w:after="200" w:before="200"/>
        <w:ind w:left="360"/>
      </w:pPr>
      <w:r>
        <w:rPr>
          <w:rFonts w:ascii="Arial" w:cs="Arial" w:eastAsia="Arial" w:hAnsi="Arial"/>
          <w:i/>
          <w:iCs/>
          <w:color w:val="5C4A32"/>
          <w:sz w:val="23"/>
          <w:szCs w:val="23"/>
        </w:rPr>
        <w:t xml:space="preserve">To become the foremost living cultural center for Sámi heritage in the Nordic region — a place recognized internationally for the authenticity, depth, and integrity of its cultural programs, and for the central role it plays in the revitalization and transmission of Sámi identity.</w:t>
      </w:r>
    </w:p>
    <w:p>
      <w:pPr>
        <w:spacing w:after="80" w:before="240"/>
      </w:pPr>
      <w:r>
        <w:rPr>
          <w:rFonts w:ascii="Arial" w:cs="Arial" w:eastAsia="Arial" w:hAnsi="Arial"/>
          <w:b/>
          <w:bCs/>
          <w:color w:val="5C4A32"/>
          <w:sz w:val="23"/>
          <w:szCs w:val="23"/>
        </w:rPr>
        <w:t xml:space="preserve">Our Vision in Practice</w:t>
      </w:r>
    </w:p>
    <w:p>
      <w:pPr>
        <w:spacing w:after="120" w:before="80"/>
        <w:ind w:left="0"/>
        <w:jc w:val="left"/>
      </w:pPr>
      <w:r>
        <w:rPr>
          <w:rFonts w:ascii="Arial" w:cs="Arial" w:eastAsia="Arial" w:hAnsi="Arial"/>
          <w:color w:val="7A6E62"/>
          <w:sz w:val="22"/>
          <w:szCs w:val="22"/>
        </w:rPr>
        <w:t xml:space="preserve">We envision Käsivarsi Cultural Center as a place that operates on multiple levels simultaneously:</w:t>
      </w:r>
    </w:p>
    <w:p>
      <w:pPr>
        <w:pStyle w:val="ListParagraph"/>
        <w:numPr>
          <w:ilvl w:val="0"/>
          <w:numId w:val="2"/>
        </w:numPr>
        <w:spacing w:after="40" w:before="40"/>
      </w:pPr>
      <w:r>
        <w:rPr>
          <w:rFonts w:ascii="Arial" w:cs="Arial" w:eastAsia="Arial" w:hAnsi="Arial"/>
          <w:color w:val="7A6E62"/>
          <w:sz w:val="22"/>
          <w:szCs w:val="22"/>
        </w:rPr>
        <w:t xml:space="preserve">A living site — where traditional structures stand, fires burn, and cultural practices are performed in their natural context.</w:t>
      </w:r>
    </w:p>
    <w:p>
      <w:pPr>
        <w:pStyle w:val="ListParagraph"/>
        <w:numPr>
          <w:ilvl w:val="0"/>
          <w:numId w:val="2"/>
        </w:numPr>
        <w:spacing w:after="40" w:before="40"/>
      </w:pPr>
      <w:r>
        <w:rPr>
          <w:rFonts w:ascii="Arial" w:cs="Arial" w:eastAsia="Arial" w:hAnsi="Arial"/>
          <w:color w:val="7A6E62"/>
          <w:sz w:val="22"/>
          <w:szCs w:val="22"/>
        </w:rPr>
        <w:t xml:space="preserve">An educational hub — welcoming school groups, universities, cultural organizations, and international visitors for structured learning experiences.</w:t>
      </w:r>
    </w:p>
    <w:p>
      <w:pPr>
        <w:pStyle w:val="ListParagraph"/>
        <w:numPr>
          <w:ilvl w:val="0"/>
          <w:numId w:val="2"/>
        </w:numPr>
        <w:spacing w:after="40" w:before="40"/>
      </w:pPr>
      <w:r>
        <w:rPr>
          <w:rFonts w:ascii="Arial" w:cs="Arial" w:eastAsia="Arial" w:hAnsi="Arial"/>
          <w:color w:val="7A6E62"/>
          <w:sz w:val="22"/>
          <w:szCs w:val="22"/>
        </w:rPr>
        <w:t xml:space="preserve">A community anchor — providing a dignified and permanent home for Sámi cultural expression in the Eanodat region.</w:t>
      </w:r>
    </w:p>
    <w:p>
      <w:pPr>
        <w:pStyle w:val="ListParagraph"/>
        <w:numPr>
          <w:ilvl w:val="0"/>
          <w:numId w:val="2"/>
        </w:numPr>
        <w:spacing w:after="40" w:before="40"/>
      </w:pPr>
      <w:r>
        <w:rPr>
          <w:rFonts w:ascii="Arial" w:cs="Arial" w:eastAsia="Arial" w:hAnsi="Arial"/>
          <w:color w:val="7A6E62"/>
          <w:sz w:val="22"/>
          <w:szCs w:val="22"/>
        </w:rPr>
        <w:t xml:space="preserve">An internationally recognized institution — contributing to global discourse on indigenous heritage, land rights, and cultural sustainability.</w:t>
      </w:r>
    </w:p>
    <w:p>
      <w:pPr>
        <w:pStyle w:val="ListParagraph"/>
        <w:numPr>
          <w:ilvl w:val="0"/>
          <w:numId w:val="2"/>
        </w:numPr>
        <w:spacing w:after="40" w:before="40"/>
      </w:pPr>
      <w:r>
        <w:rPr>
          <w:rFonts w:ascii="Arial" w:cs="Arial" w:eastAsia="Arial" w:hAnsi="Arial"/>
          <w:color w:val="7A6E62"/>
          <w:sz w:val="22"/>
          <w:szCs w:val="22"/>
        </w:rPr>
        <w:t xml:space="preserve">A model for other indigenous cultural centers — demonstrating how heritage preservation and community-led programming can be achieved with integrity.</w:t>
      </w:r>
    </w:p>
    <w:p>
      <w:pPr>
        <w:pBdr>
          <w:bottom w:val="single" w:color="B85A28" w:sz="6" w:space="6"/>
        </w:pBdr>
        <w:spacing w:after="160" w:before="400"/>
      </w:pPr>
      <w:r>
        <w:rPr>
          <w:rFonts w:ascii="Arial" w:cs="Arial" w:eastAsia="Arial" w:hAnsi="Arial"/>
          <w:b/>
          <w:bCs/>
          <w:caps/>
          <w:color w:val="2A1E10"/>
          <w:sz w:val="36"/>
          <w:szCs w:val="36"/>
        </w:rPr>
        <w:t xml:space="preserve">4.  Development Plans</w:t>
      </w:r>
    </w:p>
    <w:p>
      <w:pPr>
        <w:spacing w:after="120" w:before="80"/>
        <w:ind w:left="0"/>
        <w:jc w:val="left"/>
      </w:pPr>
      <w:r>
        <w:rPr>
          <w:rFonts w:ascii="Arial" w:cs="Arial" w:eastAsia="Arial" w:hAnsi="Arial"/>
          <w:color w:val="7A6E62"/>
          <w:sz w:val="22"/>
          <w:szCs w:val="22"/>
        </w:rPr>
        <w:t xml:space="preserve">The physical and operational development of Käsivarsi Cultural Center is structured across two phases, each building on the last. Phase 1 establishes the living grounds with authentic structures; Phase 2 adds the main cultural building that will serve as the permanent institutional heart of the center.</w:t>
      </w:r>
    </w:p>
    <w:p>
      <w:pPr>
        <w:spacing w:after="120" w:before="320"/>
      </w:pPr>
      <w:r>
        <w:rPr>
          <w:rFonts w:ascii="Arial" w:cs="Arial" w:eastAsia="Arial" w:hAnsi="Arial"/>
          <w:b/>
          <w:bCs/>
          <w:color w:val="B85A28"/>
          <w:sz w:val="26"/>
          <w:szCs w:val="26"/>
        </w:rPr>
        <w:t xml:space="preserve">4.1  Phase 1 — The Living Grounds (Autumn 2026)</w:t>
      </w:r>
    </w:p>
    <w:p>
      <w:pPr>
        <w:spacing w:after="120" w:before="80"/>
        <w:ind w:left="0"/>
        <w:jc w:val="left"/>
      </w:pPr>
      <w:r>
        <w:rPr>
          <w:rFonts w:ascii="Arial" w:cs="Arial" w:eastAsia="Arial" w:hAnsi="Arial"/>
          <w:color w:val="7A6E62"/>
          <w:sz w:val="22"/>
          <w:szCs w:val="22"/>
        </w:rPr>
        <w:t xml:space="preserve">Phase 1 is the founding phase of the center. Four traditional structures form the core of the cultural grounds, joined by the Big Korvakota which is already standing on site. These structures are authentic in materials, construction methods, and cultural use. They are not reconstructions for display — they are living spaces designed for active cultural programming.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0"/>
        <w:gridCol w:w="4160"/>
      </w:tblGrid>
      <w:tr>
        <w:trPr>
          <w:tblHeader/>
        </w:trPr>
        <w:tc>
          <w:tcPr>
            <w:tcW w:type="dxa" w:w="50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No.</w:t>
            </w:r>
          </w:p>
        </w:tc>
        <w:tc>
          <w:tcPr>
            <w:tcW w:type="dxa" w:w="220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Structure</w:t>
            </w:r>
          </w:p>
        </w:tc>
        <w:tc>
          <w:tcPr>
            <w:tcW w:type="dxa" w:w="250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Type</w:t>
            </w:r>
          </w:p>
        </w:tc>
        <w:tc>
          <w:tcPr>
            <w:tcW w:type="dxa" w:w="41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Cultural Significance</w:t>
            </w:r>
          </w:p>
        </w:tc>
      </w:tr>
      <w:tr>
        <w:tc>
          <w:tcPr>
            <w:tcW w:type="dxa" w:w="5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02</w:t>
            </w:r>
          </w:p>
        </w:tc>
        <w:tc>
          <w:tcPr>
            <w:tcW w:type="dxa" w:w="22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Korvakota / Goahti</w:t>
            </w:r>
          </w:p>
        </w:tc>
        <w:tc>
          <w:tcPr>
            <w:tcW w:type="dxa" w:w="25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Traditional Sámi Dwelling</w:t>
            </w:r>
          </w:p>
        </w:tc>
        <w:tc>
          <w:tcPr>
            <w:tcW w:type="dxa" w:w="41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Authentic turf-and-timber home; demonstrates traditional Sámi domestic life, hearth culture, and community gathering.</w:t>
            </w:r>
          </w:p>
        </w:tc>
      </w:tr>
      <w:tr>
        <w:tc>
          <w:tcPr>
            <w:tcW w:type="dxa" w:w="5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03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Laavu</w:t>
            </w:r>
          </w:p>
        </w:tc>
        <w:tc>
          <w:tcPr>
            <w:tcW w:type="dxa" w:w="25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Open Wilderness Shelter</w:t>
            </w:r>
          </w:p>
        </w:tc>
        <w:tc>
          <w:tcPr>
            <w:tcW w:type="dxa" w:w="41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Open lean-to used for fire-cooked meals, outdoor storytelling, and nature-based programs in the Arctic landscape.</w:t>
            </w:r>
          </w:p>
        </w:tc>
      </w:tr>
      <w:tr>
        <w:tc>
          <w:tcPr>
            <w:tcW w:type="dxa" w:w="5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04</w:t>
            </w:r>
          </w:p>
        </w:tc>
        <w:tc>
          <w:tcPr>
            <w:tcW w:type="dxa" w:w="22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Suonjir</w:t>
            </w:r>
          </w:p>
        </w:tc>
        <w:tc>
          <w:tcPr>
            <w:tcW w:type="dxa" w:w="25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Elevated Storage Rack</w:t>
            </w:r>
          </w:p>
        </w:tc>
        <w:tc>
          <w:tcPr>
            <w:tcW w:type="dxa" w:w="41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Traditional raised food-preservation structure; demonstrates Sámi knowledge of subarctic survival and seasonal food systems.</w:t>
            </w:r>
          </w:p>
        </w:tc>
      </w:tr>
      <w:tr>
        <w:tc>
          <w:tcPr>
            <w:tcW w:type="dxa" w:w="5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05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Big Korvakota</w:t>
            </w:r>
          </w:p>
        </w:tc>
        <w:tc>
          <w:tcPr>
            <w:tcW w:type="dxa" w:w="25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Large Community Kota</w:t>
            </w:r>
          </w:p>
        </w:tc>
        <w:tc>
          <w:tcPr>
            <w:tcW w:type="dxa" w:w="41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Already on site. Primary large-group gathering space for cultural events, guided programs, and community occasions.</w:t>
            </w:r>
          </w:p>
        </w:tc>
      </w:tr>
    </w:tbl>
    <w:p>
      <w:pPr>
        <w:spacing w:after="0" w:before="160"/>
      </w:pPr>
      <w:r>
        <w:t xml:space="preserve"/>
      </w:r>
    </w:p>
    <w:p>
      <w:pPr>
        <w:spacing w:after="120" w:before="80"/>
        <w:ind w:left="0"/>
        <w:jc w:val="left"/>
      </w:pPr>
      <w:r>
        <w:rPr>
          <w:rFonts w:ascii="Arial" w:cs="Arial" w:eastAsia="Arial" w:hAnsi="Arial"/>
          <w:color w:val="7A6E62"/>
          <w:sz w:val="22"/>
          <w:szCs w:val="22"/>
        </w:rPr>
        <w:t xml:space="preserve">All Phase 1 structures will be operational from Autumn 2026. The Big Korvakota is already standing and available for use in advance of the formal opening.</w:t>
      </w:r>
    </w:p>
    <w:p>
      <w:pPr>
        <w:spacing w:after="120" w:before="320"/>
      </w:pPr>
      <w:r>
        <w:rPr>
          <w:rFonts w:ascii="Arial" w:cs="Arial" w:eastAsia="Arial" w:hAnsi="Arial"/>
          <w:b/>
          <w:bCs/>
          <w:color w:val="B85A28"/>
          <w:sz w:val="26"/>
          <w:szCs w:val="26"/>
        </w:rPr>
        <w:t xml:space="preserve">4.2  Phase 2 — The Main Cultural Building (Date TBC)</w:t>
      </w:r>
    </w:p>
    <w:p>
      <w:pPr>
        <w:spacing w:after="120" w:before="80"/>
        <w:ind w:left="0"/>
        <w:jc w:val="left"/>
      </w:pPr>
      <w:r>
        <w:rPr>
          <w:rFonts w:ascii="Arial" w:cs="Arial" w:eastAsia="Arial" w:hAnsi="Arial"/>
          <w:color w:val="7A6E62"/>
          <w:sz w:val="22"/>
          <w:szCs w:val="22"/>
        </w:rPr>
        <w:t xml:space="preserve">Phase 2 introduces the permanent cultural building — a purpose-designed facility that will transform the center from a primarily outdoor site into a fully equipped cultural institution. The building will be designed in accordance with Sámi architectural principles and the natural character of the Kilpisjärvi landscape.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Facility</w:t>
            </w:r>
          </w:p>
        </w:tc>
        <w:tc>
          <w:tcPr>
            <w:tcW w:type="dxa" w:w="624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Description</w:t>
            </w:r>
          </w:p>
        </w:tc>
      </w:tr>
      <w:tr>
        <w:tc>
          <w:tcPr>
            <w:tcW w:type="dxa" w:w="312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Heritage Exhibitions</w:t>
            </w:r>
          </w:p>
        </w:tc>
        <w:tc>
          <w:tcPr>
            <w:tcW w:type="dxa" w:w="624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Permanent and rotating galleries showcasing Sámi history, material culture, oral traditions, and contemporary Sámi art.</w:t>
            </w:r>
          </w:p>
        </w:tc>
      </w:tr>
      <w:tr>
        <w:tc>
          <w:tcPr>
            <w:tcW w:type="dxa" w:w="312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Reception &amp; Documentation</w:t>
            </w:r>
          </w:p>
        </w:tc>
        <w:tc>
          <w:tcPr>
            <w:tcW w:type="dxa" w:w="624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Visitor services, cultural archive access, and a documentation center preserving Sámi intangible heritage.</w:t>
            </w:r>
          </w:p>
        </w:tc>
      </w:tr>
      <w:tr>
        <w:tc>
          <w:tcPr>
            <w:tcW w:type="dxa" w:w="312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Multipurpose Hall</w:t>
            </w:r>
          </w:p>
        </w:tc>
        <w:tc>
          <w:tcPr>
            <w:tcW w:type="dxa" w:w="624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Flexible event space for up to 60 guests — cultural performances, lectures, workshops, and private bookings.</w:t>
            </w:r>
          </w:p>
        </w:tc>
      </w:tr>
      <w:tr>
        <w:tc>
          <w:tcPr>
            <w:tcW w:type="dxa" w:w="312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Dining Experience</w:t>
            </w:r>
          </w:p>
        </w:tc>
        <w:tc>
          <w:tcPr>
            <w:tcW w:type="dxa" w:w="624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Pre-booked group dining rooted in Arctic culinary tradition — traditional ingredients, preparation methods, and storytelling.</w:t>
            </w:r>
          </w:p>
        </w:tc>
      </w:tr>
    </w:tbl>
    <w:p>
      <w:pPr>
        <w:spacing w:after="0" w:before="160"/>
      </w:pPr>
      <w:r>
        <w:t xml:space="preserve"/>
      </w:r>
    </w:p>
    <w:p>
      <w:pPr>
        <w:pBdr>
          <w:bottom w:val="single" w:color="B85A28" w:sz="6" w:space="6"/>
        </w:pBdr>
        <w:spacing w:after="160" w:before="400"/>
      </w:pPr>
      <w:r>
        <w:rPr>
          <w:rFonts w:ascii="Arial" w:cs="Arial" w:eastAsia="Arial" w:hAnsi="Arial"/>
          <w:b/>
          <w:bCs/>
          <w:caps/>
          <w:color w:val="2A1E10"/>
          <w:sz w:val="36"/>
          <w:szCs w:val="36"/>
        </w:rPr>
        <w:t xml:space="preserve">5.  Objectives</w:t>
      </w:r>
    </w:p>
    <w:p>
      <w:pPr>
        <w:spacing w:after="120" w:before="80"/>
        <w:ind w:left="0"/>
        <w:jc w:val="left"/>
      </w:pPr>
      <w:r>
        <w:rPr>
          <w:rFonts w:ascii="Arial" w:cs="Arial" w:eastAsia="Arial" w:hAnsi="Arial"/>
          <w:color w:val="7A6E62"/>
          <w:sz w:val="22"/>
          <w:szCs w:val="22"/>
        </w:rPr>
        <w:t xml:space="preserve">The following objectives define the specific outcomes Käsivarsi Cultural Center seeks to achieve in its first operational years. They are organized across four domains: Cultural, Educational, Operational, and Community.</w:t>
      </w:r>
    </w:p>
    <w:p>
      <w:pPr>
        <w:spacing w:after="120" w:before="320"/>
      </w:pPr>
      <w:r>
        <w:rPr>
          <w:rFonts w:ascii="Arial" w:cs="Arial" w:eastAsia="Arial" w:hAnsi="Arial"/>
          <w:b/>
          <w:bCs/>
          <w:color w:val="B85A28"/>
          <w:sz w:val="26"/>
          <w:szCs w:val="26"/>
        </w:rPr>
        <w:t xml:space="preserve">5.1  Cultural Objectives</w:t>
      </w:r>
    </w:p>
    <w:p>
      <w:pPr>
        <w:pStyle w:val="ListParagraph"/>
        <w:numPr>
          <w:ilvl w:val="0"/>
          <w:numId w:val="3"/>
        </w:numPr>
        <w:spacing w:after="40" w:before="40"/>
      </w:pPr>
      <w:r>
        <w:rPr>
          <w:rFonts w:ascii="Arial" w:cs="Arial" w:eastAsia="Arial" w:hAnsi="Arial"/>
          <w:color w:val="7A6E62"/>
          <w:sz w:val="22"/>
          <w:szCs w:val="22"/>
        </w:rPr>
        <w:t xml:space="preserve">Establish four operational traditional Sámi structures on the grounds of Kilpisjärvi by Autumn 2026 opening.</w:t>
      </w:r>
    </w:p>
    <w:p>
      <w:pPr>
        <w:pStyle w:val="ListParagraph"/>
        <w:numPr>
          <w:ilvl w:val="0"/>
          <w:numId w:val="3"/>
        </w:numPr>
        <w:spacing w:after="40" w:before="40"/>
      </w:pPr>
      <w:r>
        <w:rPr>
          <w:rFonts w:ascii="Arial" w:cs="Arial" w:eastAsia="Arial" w:hAnsi="Arial"/>
          <w:color w:val="7A6E62"/>
          <w:sz w:val="22"/>
          <w:szCs w:val="22"/>
        </w:rPr>
        <w:t xml:space="preserve">Deliver all guided cultural programs using Sámi community members as primary knowledge-holders and guides.</w:t>
      </w:r>
    </w:p>
    <w:p>
      <w:pPr>
        <w:pStyle w:val="ListParagraph"/>
        <w:numPr>
          <w:ilvl w:val="0"/>
          <w:numId w:val="3"/>
        </w:numPr>
        <w:spacing w:after="40" w:before="40"/>
      </w:pPr>
      <w:r>
        <w:rPr>
          <w:rFonts w:ascii="Arial" w:cs="Arial" w:eastAsia="Arial" w:hAnsi="Arial"/>
          <w:color w:val="7A6E62"/>
          <w:sz w:val="22"/>
          <w:szCs w:val="22"/>
        </w:rPr>
        <w:t xml:space="preserve">Document and archive a minimum of 20 oral tradition recordings, traditional craft demonstrations, and seasonal knowledge sessions in the first year of operation.</w:t>
      </w:r>
    </w:p>
    <w:p>
      <w:pPr>
        <w:pStyle w:val="ListParagraph"/>
        <w:numPr>
          <w:ilvl w:val="0"/>
          <w:numId w:val="3"/>
        </w:numPr>
        <w:spacing w:after="40" w:before="40"/>
      </w:pPr>
      <w:r>
        <w:rPr>
          <w:rFonts w:ascii="Arial" w:cs="Arial" w:eastAsia="Arial" w:hAnsi="Arial"/>
          <w:color w:val="7A6E62"/>
          <w:sz w:val="22"/>
          <w:szCs w:val="22"/>
        </w:rPr>
        <w:t xml:space="preserve">Develop partnerships with at least two Sámi cultural institutions or councils within the first 18 months.</w:t>
      </w:r>
    </w:p>
    <w:p>
      <w:pPr>
        <w:pStyle w:val="ListParagraph"/>
        <w:numPr>
          <w:ilvl w:val="0"/>
          <w:numId w:val="3"/>
        </w:numPr>
        <w:spacing w:after="40" w:before="40"/>
      </w:pPr>
      <w:r>
        <w:rPr>
          <w:rFonts w:ascii="Arial" w:cs="Arial" w:eastAsia="Arial" w:hAnsi="Arial"/>
          <w:color w:val="7A6E62"/>
          <w:sz w:val="22"/>
          <w:szCs w:val="22"/>
        </w:rPr>
        <w:t xml:space="preserve">Initiate the design and planning process for Phase 2 cultural building within 12 months of Phase 1 opening.</w:t>
      </w:r>
    </w:p>
    <w:p>
      <w:pPr>
        <w:spacing w:after="120" w:before="320"/>
      </w:pPr>
      <w:r>
        <w:rPr>
          <w:rFonts w:ascii="Arial" w:cs="Arial" w:eastAsia="Arial" w:hAnsi="Arial"/>
          <w:b/>
          <w:bCs/>
          <w:color w:val="B85A28"/>
          <w:sz w:val="26"/>
          <w:szCs w:val="26"/>
        </w:rPr>
        <w:t xml:space="preserve">5.2  Educational Objectives</w:t>
      </w:r>
    </w:p>
    <w:p>
      <w:pPr>
        <w:pStyle w:val="ListParagraph"/>
        <w:numPr>
          <w:ilvl w:val="0"/>
          <w:numId w:val="3"/>
        </w:numPr>
        <w:spacing w:after="40" w:before="40"/>
      </w:pPr>
      <w:r>
        <w:rPr>
          <w:rFonts w:ascii="Arial" w:cs="Arial" w:eastAsia="Arial" w:hAnsi="Arial"/>
          <w:color w:val="7A6E62"/>
          <w:sz w:val="22"/>
          <w:szCs w:val="22"/>
        </w:rPr>
        <w:t xml:space="preserve">Host a minimum of 24 guided program sessions per year from Year 1 (equivalent to 2 per month during the operating season).</w:t>
      </w:r>
    </w:p>
    <w:p>
      <w:pPr>
        <w:pStyle w:val="ListParagraph"/>
        <w:numPr>
          <w:ilvl w:val="0"/>
          <w:numId w:val="3"/>
        </w:numPr>
        <w:spacing w:after="40" w:before="40"/>
      </w:pPr>
      <w:r>
        <w:rPr>
          <w:rFonts w:ascii="Arial" w:cs="Arial" w:eastAsia="Arial" w:hAnsi="Arial"/>
          <w:color w:val="7A6E62"/>
          <w:sz w:val="22"/>
          <w:szCs w:val="22"/>
        </w:rPr>
        <w:t xml:space="preserve">Establish a structured school and university program with at least three partner institutions by end of Year 2.</w:t>
      </w:r>
    </w:p>
    <w:p>
      <w:pPr>
        <w:pStyle w:val="ListParagraph"/>
        <w:numPr>
          <w:ilvl w:val="0"/>
          <w:numId w:val="3"/>
        </w:numPr>
        <w:spacing w:after="40" w:before="40"/>
      </w:pPr>
      <w:r>
        <w:rPr>
          <w:rFonts w:ascii="Arial" w:cs="Arial" w:eastAsia="Arial" w:hAnsi="Arial"/>
          <w:color w:val="7A6E62"/>
          <w:sz w:val="22"/>
          <w:szCs w:val="22"/>
        </w:rPr>
        <w:t xml:space="preserve">Develop multilingual educational materials in English, Northern Sámi, Finnish, Swedish, and Norwegian.</w:t>
      </w:r>
    </w:p>
    <w:p>
      <w:pPr>
        <w:pStyle w:val="ListParagraph"/>
        <w:numPr>
          <w:ilvl w:val="0"/>
          <w:numId w:val="3"/>
        </w:numPr>
        <w:spacing w:after="40" w:before="40"/>
      </w:pPr>
      <w:r>
        <w:rPr>
          <w:rFonts w:ascii="Arial" w:cs="Arial" w:eastAsia="Arial" w:hAnsi="Arial"/>
          <w:color w:val="7A6E62"/>
          <w:sz w:val="22"/>
          <w:szCs w:val="22"/>
        </w:rPr>
        <w:t xml:space="preserve">Offer extended programs — duodji workshops, reindeer herding demonstrations, and Arctic survival knowledge sessions — from Year 2.</w:t>
      </w:r>
    </w:p>
    <w:p>
      <w:pPr>
        <w:spacing w:after="120" w:before="320"/>
      </w:pPr>
      <w:r>
        <w:rPr>
          <w:rFonts w:ascii="Arial" w:cs="Arial" w:eastAsia="Arial" w:hAnsi="Arial"/>
          <w:b/>
          <w:bCs/>
          <w:color w:val="B85A28"/>
          <w:sz w:val="26"/>
          <w:szCs w:val="26"/>
        </w:rPr>
        <w:t xml:space="preserve">5.3  Operational Objectives</w:t>
      </w:r>
    </w:p>
    <w:p>
      <w:pPr>
        <w:pStyle w:val="ListParagraph"/>
        <w:numPr>
          <w:ilvl w:val="0"/>
          <w:numId w:val="3"/>
        </w:numPr>
        <w:spacing w:after="40" w:before="40"/>
      </w:pPr>
      <w:r>
        <w:rPr>
          <w:rFonts w:ascii="Arial" w:cs="Arial" w:eastAsia="Arial" w:hAnsi="Arial"/>
          <w:color w:val="7A6E62"/>
          <w:sz w:val="22"/>
          <w:szCs w:val="22"/>
        </w:rPr>
        <w:t xml:space="preserve">Achieve financial sustainability (covering operating costs from program revenue) by the end of Year 2.</w:t>
      </w:r>
    </w:p>
    <w:p>
      <w:pPr>
        <w:pStyle w:val="ListParagraph"/>
        <w:numPr>
          <w:ilvl w:val="0"/>
          <w:numId w:val="3"/>
        </w:numPr>
        <w:spacing w:after="40" w:before="40"/>
      </w:pPr>
      <w:r>
        <w:rPr>
          <w:rFonts w:ascii="Arial" w:cs="Arial" w:eastAsia="Arial" w:hAnsi="Arial"/>
          <w:color w:val="7A6E62"/>
          <w:sz w:val="22"/>
          <w:szCs w:val="22"/>
        </w:rPr>
        <w:t xml:space="preserve">Establish a seasonal operating model aligned with the Eanodat calendar (spring through autumn primary season; limited winter programming).</w:t>
      </w:r>
    </w:p>
    <w:p>
      <w:pPr>
        <w:pStyle w:val="ListParagraph"/>
        <w:numPr>
          <w:ilvl w:val="0"/>
          <w:numId w:val="3"/>
        </w:numPr>
        <w:spacing w:after="40" w:before="40"/>
      </w:pPr>
      <w:r>
        <w:rPr>
          <w:rFonts w:ascii="Arial" w:cs="Arial" w:eastAsia="Arial" w:hAnsi="Arial"/>
          <w:color w:val="7A6E62"/>
          <w:sz w:val="22"/>
          <w:szCs w:val="22"/>
        </w:rPr>
        <w:t xml:space="preserve">Maintain the multilingual website and booking infrastructure launched at opening.</w:t>
      </w:r>
    </w:p>
    <w:p>
      <w:pPr>
        <w:pStyle w:val="ListParagraph"/>
        <w:numPr>
          <w:ilvl w:val="0"/>
          <w:numId w:val="3"/>
        </w:numPr>
        <w:spacing w:after="40" w:before="40"/>
      </w:pPr>
      <w:r>
        <w:rPr>
          <w:rFonts w:ascii="Arial" w:cs="Arial" w:eastAsia="Arial" w:hAnsi="Arial"/>
          <w:color w:val="7A6E62"/>
          <w:sz w:val="22"/>
          <w:szCs w:val="22"/>
        </w:rPr>
        <w:t xml:space="preserve">Comply with all EU reporting and impact requirements for ERDF 2021–2027 co-funding.</w:t>
      </w:r>
    </w:p>
    <w:p>
      <w:pPr>
        <w:spacing w:after="120" w:before="320"/>
      </w:pPr>
      <w:r>
        <w:rPr>
          <w:rFonts w:ascii="Arial" w:cs="Arial" w:eastAsia="Arial" w:hAnsi="Arial"/>
          <w:b/>
          <w:bCs/>
          <w:color w:val="B85A28"/>
          <w:sz w:val="26"/>
          <w:szCs w:val="26"/>
        </w:rPr>
        <w:t xml:space="preserve">5.4  Community Objectives</w:t>
      </w:r>
    </w:p>
    <w:p>
      <w:pPr>
        <w:pStyle w:val="ListParagraph"/>
        <w:numPr>
          <w:ilvl w:val="0"/>
          <w:numId w:val="3"/>
        </w:numPr>
        <w:spacing w:after="40" w:before="40"/>
      </w:pPr>
      <w:r>
        <w:rPr>
          <w:rFonts w:ascii="Arial" w:cs="Arial" w:eastAsia="Arial" w:hAnsi="Arial"/>
          <w:color w:val="7A6E62"/>
          <w:sz w:val="22"/>
          <w:szCs w:val="22"/>
        </w:rPr>
        <w:t xml:space="preserve">Create a minimum of two part-time employment positions for Sámi community members from Year 1.</w:t>
      </w:r>
    </w:p>
    <w:p>
      <w:pPr>
        <w:pStyle w:val="ListParagraph"/>
        <w:numPr>
          <w:ilvl w:val="0"/>
          <w:numId w:val="3"/>
        </w:numPr>
        <w:spacing w:after="40" w:before="40"/>
      </w:pPr>
      <w:r>
        <w:rPr>
          <w:rFonts w:ascii="Arial" w:cs="Arial" w:eastAsia="Arial" w:hAnsi="Arial"/>
          <w:color w:val="7A6E62"/>
          <w:sz w:val="22"/>
          <w:szCs w:val="22"/>
        </w:rPr>
        <w:t xml:space="preserve">Host at least two free community events per year open to local residents.</w:t>
      </w:r>
    </w:p>
    <w:p>
      <w:pPr>
        <w:pStyle w:val="ListParagraph"/>
        <w:numPr>
          <w:ilvl w:val="0"/>
          <w:numId w:val="3"/>
        </w:numPr>
        <w:spacing w:after="40" w:before="40"/>
      </w:pPr>
      <w:r>
        <w:rPr>
          <w:rFonts w:ascii="Arial" w:cs="Arial" w:eastAsia="Arial" w:hAnsi="Arial"/>
          <w:color w:val="7A6E62"/>
          <w:sz w:val="22"/>
          <w:szCs w:val="22"/>
        </w:rPr>
        <w:t xml:space="preserve">Establish an advisory council with Sámi community representation to guide all cultural programming decisions.</w:t>
      </w:r>
    </w:p>
    <w:p>
      <w:pPr>
        <w:pStyle w:val="ListParagraph"/>
        <w:numPr>
          <w:ilvl w:val="0"/>
          <w:numId w:val="3"/>
        </w:numPr>
        <w:spacing w:after="40" w:before="40"/>
      </w:pPr>
      <w:r>
        <w:rPr>
          <w:rFonts w:ascii="Arial" w:cs="Arial" w:eastAsia="Arial" w:hAnsi="Arial"/>
          <w:color w:val="7A6E62"/>
          <w:sz w:val="22"/>
          <w:szCs w:val="22"/>
        </w:rPr>
        <w:t xml:space="preserve">Contribute to the safeguarding of Sámi intangible cultural heritage as defined by UNESCO frameworks.</w:t>
      </w:r>
    </w:p>
    <w:p>
      <w:pPr>
        <w:pBdr>
          <w:bottom w:val="single" w:color="B85A28" w:sz="6" w:space="6"/>
        </w:pBdr>
        <w:spacing w:after="160" w:before="400"/>
      </w:pPr>
      <w:r>
        <w:rPr>
          <w:rFonts w:ascii="Arial" w:cs="Arial" w:eastAsia="Arial" w:hAnsi="Arial"/>
          <w:b/>
          <w:bCs/>
          <w:caps/>
          <w:color w:val="2A1E10"/>
          <w:sz w:val="36"/>
          <w:szCs w:val="36"/>
        </w:rPr>
        <w:t xml:space="preserve">6.  Strategic Goals</w:t>
      </w:r>
    </w:p>
    <w:p>
      <w:pPr>
        <w:spacing w:after="120" w:before="80"/>
        <w:ind w:left="0"/>
        <w:jc w:val="left"/>
      </w:pPr>
      <w:r>
        <w:rPr>
          <w:rFonts w:ascii="Arial" w:cs="Arial" w:eastAsia="Arial" w:hAnsi="Arial"/>
          <w:color w:val="7A6E62"/>
          <w:sz w:val="22"/>
          <w:szCs w:val="22"/>
        </w:rPr>
        <w:t xml:space="preserve">Goals are the longer-horizon ambitions of the center — the outcomes we are working toward over a 3–5 year horizon and beyond.</w:t>
      </w:r>
    </w:p>
    <w:p>
      <w:pPr>
        <w:spacing w:after="120" w:before="320"/>
      </w:pPr>
      <w:r>
        <w:rPr>
          <w:rFonts w:ascii="Arial" w:cs="Arial" w:eastAsia="Arial" w:hAnsi="Arial"/>
          <w:b/>
          <w:bCs/>
          <w:color w:val="B85A28"/>
          <w:sz w:val="26"/>
          <w:szCs w:val="26"/>
        </w:rPr>
        <w:t xml:space="preserve">6.1  Year 1 Goals (Autumn 2026 – Autumn 2027)</w:t>
      </w:r>
    </w:p>
    <w:p>
      <w:pPr>
        <w:pStyle w:val="ListParagraph"/>
        <w:numPr>
          <w:ilvl w:val="0"/>
          <w:numId w:val="2"/>
        </w:numPr>
        <w:spacing w:after="40" w:before="40"/>
      </w:pPr>
      <w:r>
        <w:rPr>
          <w:rFonts w:ascii="Arial" w:cs="Arial" w:eastAsia="Arial" w:hAnsi="Arial"/>
          <w:color w:val="7A6E62"/>
          <w:sz w:val="22"/>
          <w:szCs w:val="22"/>
        </w:rPr>
        <w:t xml:space="preserve">Open Phase 1 grounds with four operational structures and begin guided programming.</w:t>
      </w:r>
    </w:p>
    <w:p>
      <w:pPr>
        <w:pStyle w:val="ListParagraph"/>
        <w:numPr>
          <w:ilvl w:val="0"/>
          <w:numId w:val="2"/>
        </w:numPr>
        <w:spacing w:after="40" w:before="40"/>
      </w:pPr>
      <w:r>
        <w:rPr>
          <w:rFonts w:ascii="Arial" w:cs="Arial" w:eastAsia="Arial" w:hAnsi="Arial"/>
          <w:color w:val="7A6E62"/>
          <w:sz w:val="22"/>
          <w:szCs w:val="22"/>
        </w:rPr>
        <w:t xml:space="preserve">Receive and host a minimum of 500 visitors in the inaugural season.</w:t>
      </w:r>
    </w:p>
    <w:p>
      <w:pPr>
        <w:pStyle w:val="ListParagraph"/>
        <w:numPr>
          <w:ilvl w:val="0"/>
          <w:numId w:val="2"/>
        </w:numPr>
        <w:spacing w:after="40" w:before="40"/>
      </w:pPr>
      <w:r>
        <w:rPr>
          <w:rFonts w:ascii="Arial" w:cs="Arial" w:eastAsia="Arial" w:hAnsi="Arial"/>
          <w:color w:val="7A6E62"/>
          <w:sz w:val="22"/>
          <w:szCs w:val="22"/>
        </w:rPr>
        <w:t xml:space="preserve">Launch full multilingual digital presence in five languages.</w:t>
      </w:r>
    </w:p>
    <w:p>
      <w:pPr>
        <w:pStyle w:val="ListParagraph"/>
        <w:numPr>
          <w:ilvl w:val="0"/>
          <w:numId w:val="2"/>
        </w:numPr>
        <w:spacing w:after="40" w:before="40"/>
      </w:pPr>
      <w:r>
        <w:rPr>
          <w:rFonts w:ascii="Arial" w:cs="Arial" w:eastAsia="Arial" w:hAnsi="Arial"/>
          <w:color w:val="7A6E62"/>
          <w:sz w:val="22"/>
          <w:szCs w:val="22"/>
        </w:rPr>
        <w:t xml:space="preserve">Complete ERDF documentation requirements for funding tranche 1.</w:t>
      </w:r>
    </w:p>
    <w:p>
      <w:pPr>
        <w:pStyle w:val="ListParagraph"/>
        <w:numPr>
          <w:ilvl w:val="0"/>
          <w:numId w:val="2"/>
        </w:numPr>
        <w:spacing w:after="40" w:before="40"/>
      </w:pPr>
      <w:r>
        <w:rPr>
          <w:rFonts w:ascii="Arial" w:cs="Arial" w:eastAsia="Arial" w:hAnsi="Arial"/>
          <w:color w:val="7A6E62"/>
          <w:sz w:val="22"/>
          <w:szCs w:val="22"/>
        </w:rPr>
        <w:t xml:space="preserve">Begin community consultation process for Phase 2 building design.</w:t>
      </w:r>
    </w:p>
    <w:p>
      <w:pPr>
        <w:spacing w:after="120" w:before="320"/>
      </w:pPr>
      <w:r>
        <w:rPr>
          <w:rFonts w:ascii="Arial" w:cs="Arial" w:eastAsia="Arial" w:hAnsi="Arial"/>
          <w:b/>
          <w:bCs/>
          <w:color w:val="B85A28"/>
          <w:sz w:val="26"/>
          <w:szCs w:val="26"/>
        </w:rPr>
        <w:t xml:space="preserve">6.2  Year 2–3 Goals</w:t>
      </w:r>
    </w:p>
    <w:p>
      <w:pPr>
        <w:pStyle w:val="ListParagraph"/>
        <w:numPr>
          <w:ilvl w:val="0"/>
          <w:numId w:val="2"/>
        </w:numPr>
        <w:spacing w:after="40" w:before="40"/>
      </w:pPr>
      <w:r>
        <w:rPr>
          <w:rFonts w:ascii="Arial" w:cs="Arial" w:eastAsia="Arial" w:hAnsi="Arial"/>
          <w:color w:val="7A6E62"/>
          <w:sz w:val="22"/>
          <w:szCs w:val="22"/>
        </w:rPr>
        <w:t xml:space="preserve">Expand the program offering to include duodji workshops, seasonal knowledge programs, and immersive overnight experiences.</w:t>
      </w:r>
    </w:p>
    <w:p>
      <w:pPr>
        <w:pStyle w:val="ListParagraph"/>
        <w:numPr>
          <w:ilvl w:val="0"/>
          <w:numId w:val="2"/>
        </w:numPr>
        <w:spacing w:after="40" w:before="40"/>
      </w:pPr>
      <w:r>
        <w:rPr>
          <w:rFonts w:ascii="Arial" w:cs="Arial" w:eastAsia="Arial" w:hAnsi="Arial"/>
          <w:color w:val="7A6E62"/>
          <w:sz w:val="22"/>
          <w:szCs w:val="22"/>
        </w:rPr>
        <w:t xml:space="preserve">Initiate construction planning for Phase 2 main cultural building.</w:t>
      </w:r>
    </w:p>
    <w:p>
      <w:pPr>
        <w:pStyle w:val="ListParagraph"/>
        <w:numPr>
          <w:ilvl w:val="0"/>
          <w:numId w:val="2"/>
        </w:numPr>
        <w:spacing w:after="40" w:before="40"/>
      </w:pPr>
      <w:r>
        <w:rPr>
          <w:rFonts w:ascii="Arial" w:cs="Arial" w:eastAsia="Arial" w:hAnsi="Arial"/>
          <w:color w:val="7A6E62"/>
          <w:sz w:val="22"/>
          <w:szCs w:val="22"/>
        </w:rPr>
        <w:t xml:space="preserve">Build a recognized international visitor base through partnerships with Nordic cultural tourism networks.</w:t>
      </w:r>
    </w:p>
    <w:p>
      <w:pPr>
        <w:pStyle w:val="ListParagraph"/>
        <w:numPr>
          <w:ilvl w:val="0"/>
          <w:numId w:val="2"/>
        </w:numPr>
        <w:spacing w:after="40" w:before="40"/>
      </w:pPr>
      <w:r>
        <w:rPr>
          <w:rFonts w:ascii="Arial" w:cs="Arial" w:eastAsia="Arial" w:hAnsi="Arial"/>
          <w:color w:val="7A6E62"/>
          <w:sz w:val="22"/>
          <w:szCs w:val="22"/>
        </w:rPr>
        <w:t xml:space="preserve">Grow annual visitor numbers to 1,200+.</w:t>
      </w:r>
    </w:p>
    <w:p>
      <w:pPr>
        <w:pStyle w:val="ListParagraph"/>
        <w:numPr>
          <w:ilvl w:val="0"/>
          <w:numId w:val="2"/>
        </w:numPr>
        <w:spacing w:after="40" w:before="40"/>
      </w:pPr>
      <w:r>
        <w:rPr>
          <w:rFonts w:ascii="Arial" w:cs="Arial" w:eastAsia="Arial" w:hAnsi="Arial"/>
          <w:color w:val="7A6E62"/>
          <w:sz w:val="22"/>
          <w:szCs w:val="22"/>
        </w:rPr>
        <w:t xml:space="preserve">Publish the first edition of the Käsivarsi Cultural Archive — a documented collection of Sámi oral traditions, material culture, and seasonal knowledge gathered from the Eanodat region.</w:t>
      </w:r>
    </w:p>
    <w:p>
      <w:pPr>
        <w:spacing w:after="120" w:before="320"/>
      </w:pPr>
      <w:r>
        <w:rPr>
          <w:rFonts w:ascii="Arial" w:cs="Arial" w:eastAsia="Arial" w:hAnsi="Arial"/>
          <w:b/>
          <w:bCs/>
          <w:color w:val="B85A28"/>
          <w:sz w:val="26"/>
          <w:szCs w:val="26"/>
        </w:rPr>
        <w:t xml:space="preserve">6.3  5-Year Vision Goals</w:t>
      </w:r>
    </w:p>
    <w:p>
      <w:pPr>
        <w:pStyle w:val="ListParagraph"/>
        <w:numPr>
          <w:ilvl w:val="0"/>
          <w:numId w:val="2"/>
        </w:numPr>
        <w:spacing w:after="40" w:before="40"/>
      </w:pPr>
      <w:r>
        <w:rPr>
          <w:rFonts w:ascii="Arial" w:cs="Arial" w:eastAsia="Arial" w:hAnsi="Arial"/>
          <w:color w:val="7A6E62"/>
          <w:sz w:val="22"/>
          <w:szCs w:val="22"/>
        </w:rPr>
        <w:t xml:space="preserve">Complete and open the Phase 2 Main Cultural Building with exhibition halls, reception, multipurpose hall, and dining facility.</w:t>
      </w:r>
    </w:p>
    <w:p>
      <w:pPr>
        <w:pStyle w:val="ListParagraph"/>
        <w:numPr>
          <w:ilvl w:val="0"/>
          <w:numId w:val="2"/>
        </w:numPr>
        <w:spacing w:after="40" w:before="40"/>
      </w:pPr>
      <w:r>
        <w:rPr>
          <w:rFonts w:ascii="Arial" w:cs="Arial" w:eastAsia="Arial" w:hAnsi="Arial"/>
          <w:color w:val="7A6E62"/>
          <w:sz w:val="22"/>
          <w:szCs w:val="22"/>
        </w:rPr>
        <w:t xml:space="preserve">Achieve recognition as a designated Sámi Cultural Heritage Site by relevant Finnish and Nordic bodies.</w:t>
      </w:r>
    </w:p>
    <w:p>
      <w:pPr>
        <w:pStyle w:val="ListParagraph"/>
        <w:numPr>
          <w:ilvl w:val="0"/>
          <w:numId w:val="2"/>
        </w:numPr>
        <w:spacing w:after="40" w:before="40"/>
      </w:pPr>
      <w:r>
        <w:rPr>
          <w:rFonts w:ascii="Arial" w:cs="Arial" w:eastAsia="Arial" w:hAnsi="Arial"/>
          <w:color w:val="7A6E62"/>
          <w:sz w:val="22"/>
          <w:szCs w:val="22"/>
        </w:rPr>
        <w:t xml:space="preserve">Establish an annual Käsivarsi Cultural Week — an event bringing together Sámi artists, knowledge-holders, educators, and visitors from across the Nordic region.</w:t>
      </w:r>
    </w:p>
    <w:p>
      <w:pPr>
        <w:pStyle w:val="ListParagraph"/>
        <w:numPr>
          <w:ilvl w:val="0"/>
          <w:numId w:val="2"/>
        </w:numPr>
        <w:spacing w:after="40" w:before="40"/>
      </w:pPr>
      <w:r>
        <w:rPr>
          <w:rFonts w:ascii="Arial" w:cs="Arial" w:eastAsia="Arial" w:hAnsi="Arial"/>
          <w:color w:val="7A6E62"/>
          <w:sz w:val="22"/>
          <w:szCs w:val="22"/>
        </w:rPr>
        <w:t xml:space="preserve">Build an endowment or reserve fund sufficient to sustain 12 months of operations without program revenue — ensuring the center's long-term independence.</w:t>
      </w:r>
    </w:p>
    <w:p>
      <w:pPr>
        <w:pStyle w:val="ListParagraph"/>
        <w:numPr>
          <w:ilvl w:val="0"/>
          <w:numId w:val="2"/>
        </w:numPr>
        <w:spacing w:after="40" w:before="40"/>
      </w:pPr>
      <w:r>
        <w:rPr>
          <w:rFonts w:ascii="Arial" w:cs="Arial" w:eastAsia="Arial" w:hAnsi="Arial"/>
          <w:color w:val="7A6E62"/>
          <w:sz w:val="22"/>
          <w:szCs w:val="22"/>
        </w:rPr>
        <w:t xml:space="preserve">Host international indigenous cultural exchange programs, connecting Sámi heritage with other indigenous cultures globally.</w:t>
      </w:r>
    </w:p>
    <w:p>
      <w:pPr>
        <w:pBdr>
          <w:bottom w:val="single" w:color="B85A28" w:sz="6" w:space="6"/>
        </w:pBdr>
        <w:spacing w:after="160" w:before="400"/>
      </w:pPr>
      <w:r>
        <w:rPr>
          <w:rFonts w:ascii="Arial" w:cs="Arial" w:eastAsia="Arial" w:hAnsi="Arial"/>
          <w:b/>
          <w:bCs/>
          <w:caps/>
          <w:color w:val="2A1E10"/>
          <w:sz w:val="36"/>
          <w:szCs w:val="36"/>
        </w:rPr>
        <w:t xml:space="preserve">7.  Pricing Structure</w:t>
      </w:r>
    </w:p>
    <w:p>
      <w:pPr>
        <w:spacing w:after="120" w:before="80"/>
        <w:ind w:left="0"/>
        <w:jc w:val="left"/>
      </w:pPr>
      <w:r>
        <w:rPr>
          <w:rFonts w:ascii="Arial" w:cs="Arial" w:eastAsia="Arial" w:hAnsi="Arial"/>
          <w:color w:val="7A6E62"/>
          <w:sz w:val="22"/>
          <w:szCs w:val="22"/>
        </w:rPr>
        <w:t xml:space="preserve">Käsivarsi Cultural Center operates on a group-booking model. The pricing structure has been designed to balance financial sustainability with cultural accessibility — ensuring that the center can maintain its programs and staffing while remaining open to schools, community organizations, and families who may have limited resources.</w:t>
      </w:r>
    </w:p>
    <w:p>
      <w:pPr>
        <w:spacing w:after="120" w:before="80"/>
        <w:ind w:left="0"/>
        <w:jc w:val="left"/>
      </w:pPr>
      <w:r>
        <w:rPr>
          <w:rFonts w:ascii="Arial" w:cs="Arial" w:eastAsia="Arial" w:hAnsi="Arial"/>
          <w:color w:val="7A6E62"/>
          <w:sz w:val="22"/>
          <w:szCs w:val="22"/>
        </w:rPr>
        <w:t xml:space="preserve">The core policy is straightforward: groups of 10–20 persons are charged the standard group rate; children under the age of 10 attend free of charge within any booked group.</w:t>
      </w:r>
    </w:p>
    <w:p>
      <w:pPr>
        <w:spacing w:after="120" w:before="320"/>
      </w:pPr>
      <w:r>
        <w:rPr>
          <w:rFonts w:ascii="Arial" w:cs="Arial" w:eastAsia="Arial" w:hAnsi="Arial"/>
          <w:b/>
          <w:bCs/>
          <w:color w:val="B85A28"/>
          <w:sz w:val="26"/>
          <w:szCs w:val="26"/>
        </w:rPr>
        <w:t xml:space="preserve">7.1  Pricing Policy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Visitor Category</w:t>
            </w:r>
          </w:p>
        </w:tc>
        <w:tc>
          <w:tcPr>
            <w:tcW w:type="dxa" w:w="288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Admission</w:t>
            </w:r>
          </w:p>
        </w:tc>
        <w:tc>
          <w:tcPr>
            <w:tcW w:type="dxa" w:w="288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Notes</w:t>
            </w:r>
          </w:p>
        </w:tc>
      </w:tr>
      <w:tr>
        <w:tc>
          <w:tcPr>
            <w:tcW w:type="dxa" w:w="36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Adult (age 10+)</w:t>
            </w:r>
          </w:p>
        </w:tc>
        <w:tc>
          <w:tcPr>
            <w:tcW w:type="dxa" w:w="2880"/>
            <w:tcBorders>
              <w:top w:val="single" w:color="B85A28" w:sz="1"/>
              <w:left w:val="single" w:color="B85A28" w:sz="1"/>
              <w:bottom w:val="single" w:color="B85A28" w:sz="1"/>
              <w:right w:val="single" w:color="B85A28" w:sz="1"/>
            </w:tcBorders>
            <w:shd w:fill="F2EAD8" w:val="clear"/>
            <w:tcMar>
              <w:top w:type="dxa" w:w="80"/>
              <w:left w:type="dxa" w:w="150"/>
              <w:bottom w:type="dxa" w:w="80"/>
              <w:right w:type="dxa" w:w="150"/>
            </w:tcMar>
          </w:tcPr>
          <w:p>
            <w:r>
              <w:rPr>
                <w:rFonts w:ascii="Arial" w:cs="Arial" w:eastAsia="Arial" w:hAnsi="Arial"/>
                <w:b/>
                <w:bCs/>
                <w:color w:val="B85A28"/>
                <w:sz w:val="21"/>
                <w:szCs w:val="21"/>
              </w:rPr>
              <w:t xml:space="preserve">Standard group rate</w:t>
            </w:r>
          </w:p>
        </w:tc>
        <w:tc>
          <w:tcPr>
            <w:tcW w:type="dxa" w:w="28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Minimum group: 10 persons</w:t>
            </w:r>
          </w:p>
        </w:tc>
      </w:tr>
      <w:tr>
        <w:tc>
          <w:tcPr>
            <w:tcW w:type="dxa" w:w="36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Child (under age 10)</w:t>
            </w:r>
          </w:p>
        </w:tc>
        <w:tc>
          <w:tcPr>
            <w:tcW w:type="dxa" w:w="2880"/>
            <w:tcBorders>
              <w:top w:val="single" w:color="D4C4B0" w:sz="1"/>
              <w:left w:val="single" w:color="D4C4B0" w:sz="1"/>
              <w:bottom w:val="single" w:color="D4C4B0" w:sz="1"/>
              <w:right w:val="single" w:color="D4C4B0" w:sz="1"/>
            </w:tcBorders>
            <w:shd w:fill="EDF7F4" w:val="clear"/>
            <w:tcMar>
              <w:top w:type="dxa" w:w="80"/>
              <w:left w:type="dxa" w:w="150"/>
              <w:bottom w:type="dxa" w:w="80"/>
              <w:right w:type="dxa" w:w="150"/>
            </w:tcMar>
          </w:tcPr>
          <w:p>
            <w:r>
              <w:rPr>
                <w:rFonts w:ascii="Arial" w:cs="Arial" w:eastAsia="Arial" w:hAnsi="Arial"/>
                <w:b/>
                <w:bCs/>
                <w:color w:val="3A6A5E"/>
                <w:sz w:val="22"/>
                <w:szCs w:val="22"/>
              </w:rPr>
              <w:t xml:space="preserve">FREE</w:t>
            </w:r>
          </w:p>
        </w:tc>
        <w:tc>
          <w:tcPr>
            <w:tcW w:type="dxa" w:w="288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No charge within any booked group</w:t>
            </w:r>
          </w:p>
        </w:tc>
      </w:tr>
      <w:tr>
        <w:tc>
          <w:tcPr>
            <w:tcW w:type="dxa" w:w="360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School / Educational Groups</w:t>
            </w:r>
          </w:p>
        </w:tc>
        <w:tc>
          <w:tcPr>
            <w:tcW w:type="dxa" w:w="2880"/>
            <w:tcBorders>
              <w:top w:val="single" w:color="B85A28" w:sz="1"/>
              <w:left w:val="single" w:color="B85A28" w:sz="1"/>
              <w:bottom w:val="single" w:color="B85A28" w:sz="1"/>
              <w:right w:val="single" w:color="B85A28" w:sz="1"/>
            </w:tcBorders>
            <w:shd w:fill="F2EAD8" w:val="clear"/>
            <w:tcMar>
              <w:top w:type="dxa" w:w="80"/>
              <w:left w:type="dxa" w:w="150"/>
              <w:bottom w:type="dxa" w:w="80"/>
              <w:right w:type="dxa" w:w="150"/>
            </w:tcMar>
          </w:tcPr>
          <w:p>
            <w:r>
              <w:rPr>
                <w:rFonts w:ascii="Arial" w:cs="Arial" w:eastAsia="Arial" w:hAnsi="Arial"/>
                <w:b/>
                <w:bCs/>
                <w:color w:val="B85A28"/>
                <w:sz w:val="21"/>
                <w:szCs w:val="21"/>
              </w:rPr>
              <w:t xml:space="preserve">Subsidized rate available</w:t>
            </w:r>
          </w:p>
        </w:tc>
        <w:tc>
          <w:tcPr>
            <w:tcW w:type="dxa" w:w="28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Contact us — educational pricing on request</w:t>
            </w:r>
          </w:p>
        </w:tc>
      </w:tr>
      <w:tr>
        <w:tc>
          <w:tcPr>
            <w:tcW w:type="dxa" w:w="360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Private / Corporate Groups</w:t>
            </w:r>
          </w:p>
        </w:tc>
        <w:tc>
          <w:tcPr>
            <w:tcW w:type="dxa" w:w="2880"/>
            <w:tcBorders>
              <w:top w:val="single" w:color="B85A28" w:sz="1"/>
              <w:left w:val="single" w:color="B85A28" w:sz="1"/>
              <w:bottom w:val="single" w:color="B85A28" w:sz="1"/>
              <w:right w:val="single" w:color="B85A28" w:sz="1"/>
            </w:tcBorders>
            <w:shd w:fill="F2EAD8" w:val="clear"/>
            <w:tcMar>
              <w:top w:type="dxa" w:w="80"/>
              <w:left w:type="dxa" w:w="150"/>
              <w:bottom w:type="dxa" w:w="80"/>
              <w:right w:type="dxa" w:w="150"/>
            </w:tcMar>
          </w:tcPr>
          <w:p>
            <w:r>
              <w:rPr>
                <w:rFonts w:ascii="Arial" w:cs="Arial" w:eastAsia="Arial" w:hAnsi="Arial"/>
                <w:b/>
                <w:bCs/>
                <w:color w:val="B85A28"/>
                <w:sz w:val="21"/>
                <w:szCs w:val="21"/>
              </w:rPr>
              <w:t xml:space="preserve">Premium rate applies</w:t>
            </w:r>
          </w:p>
        </w:tc>
        <w:tc>
          <w:tcPr>
            <w:tcW w:type="dxa" w:w="288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Includes private guide &amp; extended program options</w:t>
            </w:r>
          </w:p>
        </w:tc>
      </w:tr>
    </w:tbl>
    <w:p>
      <w:pPr>
        <w:spacing w:after="0" w:before="160"/>
      </w:pPr>
      <w:r>
        <w:t xml:space="preserve"/>
      </w:r>
    </w:p>
    <w:p>
      <w:pPr>
        <w:spacing w:after="120" w:before="320"/>
      </w:pPr>
      <w:r>
        <w:rPr>
          <w:rFonts w:ascii="Arial" w:cs="Arial" w:eastAsia="Arial" w:hAnsi="Arial"/>
          <w:b/>
          <w:bCs/>
          <w:color w:val="B85A28"/>
          <w:sz w:val="26"/>
          <w:szCs w:val="26"/>
        </w:rPr>
        <w:t xml:space="preserve">7.2  Group Revenue Projection — Standard Guided Program</w:t>
      </w:r>
    </w:p>
    <w:p>
      <w:pPr>
        <w:spacing w:after="120" w:before="80"/>
        <w:ind w:left="0"/>
        <w:jc w:val="left"/>
      </w:pPr>
      <w:r>
        <w:rPr>
          <w:rFonts w:ascii="Arial" w:cs="Arial" w:eastAsia="Arial" w:hAnsi="Arial"/>
          <w:color w:val="7A6E62"/>
          <w:sz w:val="22"/>
          <w:szCs w:val="22"/>
        </w:rPr>
        <w:t xml:space="preserve">The following table illustrates projected revenue per session at varying group sizes, using an indicative standard group rate of €25 per adult. Actual pricing will be confirmed prior to opening and may be adjusted based on program length and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Group Size</w:t>
            </w:r>
          </w:p>
        </w:tc>
        <w:tc>
          <w:tcPr>
            <w:tcW w:type="dxa" w:w="15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Adults (age 10+)</w:t>
            </w:r>
          </w:p>
        </w:tc>
        <w:tc>
          <w:tcPr>
            <w:tcW w:type="dxa" w:w="15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Children under 10</w:t>
            </w:r>
          </w:p>
        </w:tc>
        <w:tc>
          <w:tcPr>
            <w:tcW w:type="dxa" w:w="15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Rate per Adult</w:t>
            </w:r>
          </w:p>
        </w:tc>
        <w:tc>
          <w:tcPr>
            <w:tcW w:type="dxa" w:w="15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Children Fee</w:t>
            </w:r>
          </w:p>
        </w:tc>
        <w:tc>
          <w:tcPr>
            <w:tcW w:type="dxa" w:w="156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Total Revenue</w:t>
            </w:r>
          </w:p>
        </w:tc>
      </w:tr>
      <w:tr>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bCs/>
                <w:color w:val="2A1E10"/>
                <w:sz w:val="21"/>
                <w:szCs w:val="21"/>
              </w:rPr>
              <w:t xml:space="preserve">10 persons</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10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€25.00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€0.00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bCs/>
                <w:color w:val="B85A28"/>
                <w:sz w:val="21"/>
                <w:szCs w:val="21"/>
              </w:rPr>
              <w:t xml:space="preserve">€250.00</w:t>
            </w:r>
          </w:p>
        </w:tc>
      </w:tr>
      <w:tr>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A1E10"/>
                <w:sz w:val="21"/>
                <w:szCs w:val="21"/>
              </w:rPr>
              <w:t xml:space="preserve">12 persons</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10</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2 (free)</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€25.00</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€0.00</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bCs/>
                <w:color w:val="B85A28"/>
                <w:sz w:val="21"/>
                <w:szCs w:val="21"/>
              </w:rPr>
              <w:t xml:space="preserve">€250.00</w:t>
            </w:r>
          </w:p>
        </w:tc>
      </w:tr>
      <w:tr>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bCs/>
                <w:color w:val="2A1E10"/>
                <w:sz w:val="21"/>
                <w:szCs w:val="21"/>
              </w:rPr>
              <w:t xml:space="preserve">14 persons</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12</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2 (free)</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€25.00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€0.00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bCs/>
                <w:color w:val="B85A28"/>
                <w:sz w:val="21"/>
                <w:szCs w:val="21"/>
              </w:rPr>
              <w:t xml:space="preserve">€300.00</w:t>
            </w:r>
          </w:p>
        </w:tc>
      </w:tr>
      <w:tr>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A1E10"/>
                <w:sz w:val="21"/>
                <w:szCs w:val="21"/>
              </w:rPr>
              <w:t xml:space="preserve">16 persons</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14</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2 (free)</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€25.00</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€0.00</w:t>
            </w:r>
          </w:p>
        </w:tc>
        <w:tc>
          <w:tcPr>
            <w:tcW w:type="dxa" w:w="156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center"/>
            </w:pPr>
            <w:r>
              <w:rPr>
                <w:rFonts w:ascii="Arial" w:cs="Arial" w:eastAsia="Arial" w:hAnsi="Arial"/>
                <w:b/>
                <w:bCs/>
                <w:color w:val="B85A28"/>
                <w:sz w:val="21"/>
                <w:szCs w:val="21"/>
              </w:rPr>
              <w:t xml:space="preserve">€350.00</w:t>
            </w:r>
          </w:p>
        </w:tc>
      </w:tr>
      <w:tr>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bCs/>
                <w:color w:val="2A1E10"/>
                <w:sz w:val="21"/>
                <w:szCs w:val="21"/>
              </w:rPr>
              <w:t xml:space="preserve">18 persons</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16</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2 (free)</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€25.00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€0.00</w:t>
            </w:r>
          </w:p>
        </w:tc>
        <w:tc>
          <w:tcPr>
            <w:tcW w:type="dxa" w:w="156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center"/>
            </w:pPr>
            <w:r>
              <w:rPr>
                <w:rFonts w:ascii="Arial" w:cs="Arial" w:eastAsia="Arial" w:hAnsi="Arial"/>
                <w:b/>
                <w:bCs/>
                <w:color w:val="B85A28"/>
                <w:sz w:val="21"/>
                <w:szCs w:val="21"/>
              </w:rPr>
              <w:t xml:space="preserve">€400.00</w:t>
            </w:r>
          </w:p>
        </w:tc>
      </w:tr>
      <w:tr>
        <w:tc>
          <w:tcPr>
            <w:tcW w:type="dxa" w:w="1560"/>
            <w:tcBorders>
              <w:top w:val="single" w:color="D4C4B0" w:sz="1"/>
              <w:left w:val="single" w:color="D4C4B0" w:sz="1"/>
              <w:bottom w:val="single" w:color="D4C4B0" w:sz="1"/>
              <w:right w:val="single" w:color="D4C4B0" w:sz="1"/>
            </w:tcBorders>
            <w:shd w:fill="EDF0F5" w:val="clear"/>
            <w:tcMar>
              <w:top w:type="dxa" w:w="80"/>
              <w:left w:type="dxa" w:w="150"/>
              <w:bottom w:type="dxa" w:w="80"/>
              <w:right w:type="dxa" w:w="150"/>
            </w:tcMar>
            <w:vAlign w:val="center"/>
          </w:tcPr>
          <w:p>
            <w:pPr>
              <w:jc w:val="center"/>
            </w:pPr>
            <w:r>
              <w:rPr>
                <w:rFonts w:ascii="Arial" w:cs="Arial" w:eastAsia="Arial" w:hAnsi="Arial"/>
                <w:b/>
                <w:bCs/>
                <w:color w:val="2A1E10"/>
                <w:sz w:val="21"/>
                <w:szCs w:val="21"/>
              </w:rPr>
              <w:t xml:space="preserve">20 persons (max)</w:t>
            </w:r>
          </w:p>
        </w:tc>
        <w:tc>
          <w:tcPr>
            <w:tcW w:type="dxa" w:w="1560"/>
            <w:tcBorders>
              <w:top w:val="single" w:color="D4C4B0" w:sz="1"/>
              <w:left w:val="single" w:color="D4C4B0" w:sz="1"/>
              <w:bottom w:val="single" w:color="D4C4B0" w:sz="1"/>
              <w:right w:val="single" w:color="D4C4B0" w:sz="1"/>
            </w:tcBorders>
            <w:shd w:fill="EDF0F5"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18</w:t>
            </w:r>
          </w:p>
        </w:tc>
        <w:tc>
          <w:tcPr>
            <w:tcW w:type="dxa" w:w="1560"/>
            <w:tcBorders>
              <w:top w:val="single" w:color="D4C4B0" w:sz="1"/>
              <w:left w:val="single" w:color="D4C4B0" w:sz="1"/>
              <w:bottom w:val="single" w:color="D4C4B0" w:sz="1"/>
              <w:right w:val="single" w:color="D4C4B0" w:sz="1"/>
            </w:tcBorders>
            <w:shd w:fill="EDF0F5"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2 (free)</w:t>
            </w:r>
          </w:p>
        </w:tc>
        <w:tc>
          <w:tcPr>
            <w:tcW w:type="dxa" w:w="1560"/>
            <w:tcBorders>
              <w:top w:val="single" w:color="D4C4B0" w:sz="1"/>
              <w:left w:val="single" w:color="D4C4B0" w:sz="1"/>
              <w:bottom w:val="single" w:color="D4C4B0" w:sz="1"/>
              <w:right w:val="single" w:color="D4C4B0" w:sz="1"/>
            </w:tcBorders>
            <w:shd w:fill="EDF0F5" w:val="clear"/>
            <w:tcMar>
              <w:top w:type="dxa" w:w="80"/>
              <w:left w:type="dxa" w:w="150"/>
              <w:bottom w:type="dxa" w:w="80"/>
              <w:right w:type="dxa" w:w="150"/>
            </w:tcMar>
            <w:vAlign w:val="center"/>
          </w:tcPr>
          <w:p>
            <w:pPr>
              <w:jc w:val="center"/>
            </w:pPr>
            <w:r>
              <w:rPr>
                <w:rFonts w:ascii="Arial" w:cs="Arial" w:eastAsia="Arial" w:hAnsi="Arial"/>
                <w:b w:val="false"/>
                <w:bCs w:val="false"/>
                <w:color w:val="7A6E62"/>
                <w:sz w:val="21"/>
                <w:szCs w:val="21"/>
              </w:rPr>
              <w:t xml:space="preserve">€25.00</w:t>
            </w:r>
          </w:p>
        </w:tc>
        <w:tc>
          <w:tcPr>
            <w:tcW w:type="dxa" w:w="1560"/>
            <w:tcBorders>
              <w:top w:val="single" w:color="D4C4B0" w:sz="1"/>
              <w:left w:val="single" w:color="D4C4B0" w:sz="1"/>
              <w:bottom w:val="single" w:color="D4C4B0" w:sz="1"/>
              <w:right w:val="single" w:color="D4C4B0" w:sz="1"/>
            </w:tcBorders>
            <w:shd w:fill="EDF0F5" w:val="clear"/>
            <w:tcMar>
              <w:top w:type="dxa" w:w="80"/>
              <w:left w:type="dxa" w:w="150"/>
              <w:bottom w:type="dxa" w:w="80"/>
              <w:right w:type="dxa" w:w="150"/>
            </w:tcMar>
            <w:vAlign w:val="center"/>
          </w:tcPr>
          <w:p>
            <w:pPr>
              <w:jc w:val="center"/>
            </w:pPr>
            <w:r>
              <w:rPr>
                <w:rFonts w:ascii="Arial" w:cs="Arial" w:eastAsia="Arial" w:hAnsi="Arial"/>
                <w:b w:val="false"/>
                <w:bCs w:val="false"/>
                <w:color w:val="3A6A5E"/>
                <w:sz w:val="21"/>
                <w:szCs w:val="21"/>
              </w:rPr>
              <w:t xml:space="preserve">€0.00</w:t>
            </w:r>
          </w:p>
        </w:tc>
        <w:tc>
          <w:tcPr>
            <w:tcW w:type="dxa" w:w="1560"/>
            <w:tcBorders>
              <w:top w:val="single" w:color="D4C4B0" w:sz="1"/>
              <w:left w:val="single" w:color="D4C4B0" w:sz="1"/>
              <w:bottom w:val="single" w:color="D4C4B0" w:sz="1"/>
              <w:right w:val="single" w:color="D4C4B0" w:sz="1"/>
            </w:tcBorders>
            <w:shd w:fill="EDF0F5" w:val="clear"/>
            <w:tcMar>
              <w:top w:type="dxa" w:w="80"/>
              <w:left w:type="dxa" w:w="150"/>
              <w:bottom w:type="dxa" w:w="80"/>
              <w:right w:type="dxa" w:w="150"/>
            </w:tcMar>
            <w:vAlign w:val="center"/>
          </w:tcPr>
          <w:p>
            <w:pPr>
              <w:jc w:val="center"/>
            </w:pPr>
            <w:r>
              <w:rPr>
                <w:rFonts w:ascii="Arial" w:cs="Arial" w:eastAsia="Arial" w:hAnsi="Arial"/>
                <w:b/>
                <w:bCs/>
                <w:color w:val="B85A28"/>
                <w:sz w:val="21"/>
                <w:szCs w:val="21"/>
              </w:rPr>
              <w:t xml:space="preserve">€450.00</w:t>
            </w:r>
          </w:p>
        </w:tc>
      </w:tr>
    </w:tbl>
    <w:p>
      <w:pPr>
        <w:spacing w:after="0" w:before="120"/>
      </w:pPr>
      <w:r>
        <w:t xml:space="preserve"/>
      </w:r>
    </w:p>
    <w:p>
      <w:pPr>
        <w:spacing w:after="120" w:before="80"/>
        <w:ind w:left="0"/>
        <w:jc w:val="left"/>
      </w:pPr>
      <w:r>
        <w:rPr>
          <w:rFonts w:ascii="Arial" w:cs="Arial" w:eastAsia="Arial" w:hAnsi="Arial"/>
          <w:color w:val="7A6E62"/>
          <w:sz w:val="22"/>
          <w:szCs w:val="22"/>
        </w:rPr>
        <w:t xml:space="preserve">Note: The table above assumes 2 children under 10 per group as a conservative illustration. Groups with more children will have correspondingly higher adult numbers charged at the standard rate. The maximum group size for a standard guided session is 20 persons.</w:t>
      </w:r>
    </w:p>
    <w:p>
      <w:pPr>
        <w:spacing w:after="120" w:before="320"/>
      </w:pPr>
      <w:r>
        <w:rPr>
          <w:rFonts w:ascii="Arial" w:cs="Arial" w:eastAsia="Arial" w:hAnsi="Arial"/>
          <w:b/>
          <w:bCs/>
          <w:color w:val="B85A28"/>
          <w:sz w:val="26"/>
          <w:szCs w:val="26"/>
        </w:rPr>
        <w:t xml:space="preserve">7.3  Annual Revenue Projection (Year 1 Estimate)</w:t>
      </w:r>
    </w:p>
    <w:p>
      <w:pPr>
        <w:spacing w:after="120" w:before="80"/>
        <w:ind w:left="0"/>
        <w:jc w:val="left"/>
      </w:pPr>
      <w:r>
        <w:rPr>
          <w:rFonts w:ascii="Arial" w:cs="Arial" w:eastAsia="Arial" w:hAnsi="Arial"/>
          <w:color w:val="7A6E62"/>
          <w:sz w:val="22"/>
          <w:szCs w:val="22"/>
        </w:rPr>
        <w:t xml:space="preserve">Based on a conservative estimate of 2 guided sessions per week across a 20-week operating season (May–September), and an average group size of 15 adults at €25 per person: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Variable</w:t>
            </w:r>
          </w:p>
        </w:tc>
        <w:tc>
          <w:tcPr>
            <w:tcW w:type="dxa" w:w="4680"/>
            <w:gridSpan w:val="1"/>
            <w:tcBorders>
              <w:top w:val="single" w:color="5C4A32" w:sz="1"/>
              <w:left w:val="single" w:color="5C4A32" w:sz="1"/>
              <w:bottom w:val="single" w:color="5C4A32" w:sz="1"/>
              <w:right w:val="single" w:color="5C4A32" w:sz="1"/>
            </w:tcBorders>
            <w:shd w:fill="5C4A32" w:val="clear"/>
            <w:tcMar>
              <w:top w:type="dxa" w:w="100"/>
              <w:left w:type="dxa" w:w="150"/>
              <w:bottom w:type="dxa" w:w="100"/>
              <w:right w:type="dxa" w:w="150"/>
            </w:tcMar>
            <w:vAlign w:val="center"/>
          </w:tcPr>
          <w:p>
            <w:pPr>
              <w:jc w:val="center"/>
            </w:pPr>
            <w:r>
              <w:rPr>
                <w:rFonts w:ascii="Arial" w:cs="Arial" w:eastAsia="Arial" w:hAnsi="Arial"/>
                <w:b/>
                <w:bCs/>
                <w:color w:val="E8DCC8"/>
                <w:sz w:val="20"/>
                <w:szCs w:val="20"/>
              </w:rPr>
              <w:t xml:space="preserve">Estimate</w:t>
            </w:r>
          </w:p>
        </w:tc>
      </w:tr>
      <w:tr>
        <w:tc>
          <w:tcPr>
            <w:tcW w:type="dxa" w:w="46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Sessions per week</w:t>
            </w:r>
          </w:p>
        </w:tc>
        <w:tc>
          <w:tcPr>
            <w:tcW w:type="dxa" w:w="46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2</w:t>
            </w:r>
          </w:p>
        </w:tc>
      </w:tr>
      <w:tr>
        <w:tc>
          <w:tcPr>
            <w:tcW w:type="dxa" w:w="468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Operating weeks (Year 1)</w:t>
            </w:r>
          </w:p>
        </w:tc>
        <w:tc>
          <w:tcPr>
            <w:tcW w:type="dxa" w:w="468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20 (May–September)</w:t>
            </w:r>
          </w:p>
        </w:tc>
      </w:tr>
      <w:tr>
        <w:tc>
          <w:tcPr>
            <w:tcW w:type="dxa" w:w="46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Total sessions (Year 1)</w:t>
            </w:r>
          </w:p>
        </w:tc>
        <w:tc>
          <w:tcPr>
            <w:tcW w:type="dxa" w:w="46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40 sessions</w:t>
            </w:r>
          </w:p>
        </w:tc>
      </w:tr>
      <w:tr>
        <w:tc>
          <w:tcPr>
            <w:tcW w:type="dxa" w:w="468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Average adults per session</w:t>
            </w:r>
          </w:p>
        </w:tc>
        <w:tc>
          <w:tcPr>
            <w:tcW w:type="dxa" w:w="4680"/>
            <w:tcBorders>
              <w:top w:val="single" w:color="D4C4B0" w:sz="1"/>
              <w:left w:val="single" w:color="D4C4B0" w:sz="1"/>
              <w:bottom w:val="single" w:color="D4C4B0" w:sz="1"/>
              <w:right w:val="single" w:color="D4C4B0" w:sz="1"/>
            </w:tcBorders>
            <w:shd w:fill="FFFFFF"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15 persons</w:t>
            </w:r>
          </w:p>
        </w:tc>
      </w:tr>
      <w:tr>
        <w:tc>
          <w:tcPr>
            <w:tcW w:type="dxa" w:w="46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val="false"/>
                <w:bCs w:val="false"/>
                <w:color w:val="7A6E62"/>
                <w:sz w:val="21"/>
                <w:szCs w:val="21"/>
              </w:rPr>
              <w:t xml:space="preserve">Rate per adult</w:t>
            </w:r>
          </w:p>
        </w:tc>
        <w:tc>
          <w:tcPr>
            <w:tcW w:type="dxa" w:w="4680"/>
            <w:tcBorders>
              <w:top w:val="single" w:color="D4C4B0" w:sz="1"/>
              <w:left w:val="single" w:color="D4C4B0" w:sz="1"/>
              <w:bottom w:val="single" w:color="D4C4B0" w:sz="1"/>
              <w:right w:val="single" w:color="D4C4B0" w:sz="1"/>
            </w:tcBorders>
            <w:shd w:fill="FAF5EC" w:val="clear"/>
            <w:tcMar>
              <w:top w:type="dxa" w:w="80"/>
              <w:left w:type="dxa" w:w="150"/>
              <w:bottom w:type="dxa" w:w="80"/>
              <w:right w:type="dxa" w:w="150"/>
            </w:tcMar>
            <w:vAlign w:val="center"/>
          </w:tcPr>
          <w:p>
            <w:pPr>
              <w:jc w:val="left"/>
            </w:pPr>
            <w:r>
              <w:rPr>
                <w:rFonts w:ascii="Arial" w:cs="Arial" w:eastAsia="Arial" w:hAnsi="Arial"/>
                <w:b/>
                <w:bCs/>
                <w:color w:val="2A1E10"/>
                <w:sz w:val="21"/>
                <w:szCs w:val="21"/>
              </w:rPr>
              <w:t xml:space="preserve">€25.00</w:t>
            </w:r>
          </w:p>
        </w:tc>
      </w:tr>
      <w:tr>
        <w:tc>
          <w:tcPr>
            <w:tcW w:type="dxa" w:w="4680"/>
            <w:tcBorders>
              <w:top w:val="single" w:color="B85A28" w:sz="1"/>
              <w:left w:val="single" w:color="B85A28" w:sz="1"/>
              <w:bottom w:val="single" w:color="B85A28" w:sz="1"/>
              <w:right w:val="single" w:color="B85A28" w:sz="1"/>
            </w:tcBorders>
            <w:shd w:fill="5C4A32" w:val="clear"/>
            <w:tcMar>
              <w:top w:type="dxa" w:w="100"/>
              <w:left w:type="dxa" w:w="150"/>
              <w:bottom w:type="dxa" w:w="100"/>
              <w:right w:type="dxa" w:w="150"/>
            </w:tcMar>
          </w:tcPr>
          <w:p>
            <w:r>
              <w:rPr>
                <w:rFonts w:ascii="Arial" w:cs="Arial" w:eastAsia="Arial" w:hAnsi="Arial"/>
                <w:b/>
                <w:bCs/>
                <w:color w:val="E8DCC8"/>
                <w:sz w:val="22"/>
                <w:szCs w:val="22"/>
              </w:rPr>
              <w:t xml:space="preserve">Projected Year 1 Revenue</w:t>
            </w:r>
          </w:p>
        </w:tc>
        <w:tc>
          <w:tcPr>
            <w:tcW w:type="dxa" w:w="4680"/>
            <w:tcBorders>
              <w:top w:val="single" w:color="B85A28" w:sz="1"/>
              <w:left w:val="single" w:color="B85A28" w:sz="1"/>
              <w:bottom w:val="single" w:color="B85A28" w:sz="1"/>
              <w:right w:val="single" w:color="B85A28" w:sz="1"/>
            </w:tcBorders>
            <w:shd w:fill="5C4A32" w:val="clear"/>
            <w:tcMar>
              <w:top w:type="dxa" w:w="100"/>
              <w:left w:type="dxa" w:w="150"/>
              <w:bottom w:type="dxa" w:w="100"/>
              <w:right w:type="dxa" w:w="150"/>
            </w:tcMar>
          </w:tcPr>
          <w:p>
            <w:r>
              <w:rPr>
                <w:rFonts w:ascii="Arial" w:cs="Arial" w:eastAsia="Arial" w:hAnsi="Arial"/>
                <w:b/>
                <w:bCs/>
                <w:color w:val="E8DCC8"/>
                <w:sz w:val="26"/>
                <w:szCs w:val="26"/>
              </w:rPr>
              <w:t xml:space="preserve">€15,000</w:t>
            </w:r>
          </w:p>
        </w:tc>
      </w:tr>
    </w:tbl>
    <w:p>
      <w:pPr>
        <w:spacing w:after="0" w:before="120"/>
      </w:pPr>
      <w:r>
        <w:t xml:space="preserve"/>
      </w:r>
    </w:p>
    <w:p>
      <w:pPr>
        <w:spacing w:after="120" w:before="80"/>
        <w:ind w:left="0"/>
        <w:jc w:val="left"/>
      </w:pPr>
      <w:r>
        <w:rPr>
          <w:rFonts w:ascii="Arial" w:cs="Arial" w:eastAsia="Arial" w:hAnsi="Arial"/>
          <w:color w:val="7A6E62"/>
          <w:sz w:val="22"/>
          <w:szCs w:val="22"/>
        </w:rPr>
        <w:t xml:space="preserve">This conservative projection does not include revenue from extended programs, private bookings, corporate groups, dining experiences, or Phase 2 facilities. With a fuller program offering, Year 2+ revenue is projected to substantially exceed this baseline.</w:t>
      </w:r>
    </w:p>
    <w:p>
      <w:pPr>
        <w:spacing w:after="120" w:before="320"/>
      </w:pPr>
      <w:r>
        <w:rPr>
          <w:rFonts w:ascii="Arial" w:cs="Arial" w:eastAsia="Arial" w:hAnsi="Arial"/>
          <w:b/>
          <w:bCs/>
          <w:color w:val="B85A28"/>
          <w:sz w:val="26"/>
          <w:szCs w:val="26"/>
        </w:rPr>
        <w:t xml:space="preserve">7.4  Pricing Principles</w:t>
      </w:r>
    </w:p>
    <w:p>
      <w:pPr>
        <w:pStyle w:val="ListParagraph"/>
        <w:numPr>
          <w:ilvl w:val="0"/>
          <w:numId w:val="2"/>
        </w:numPr>
        <w:spacing w:after="40" w:before="40"/>
      </w:pPr>
      <w:r>
        <w:rPr>
          <w:rFonts w:ascii="Arial" w:cs="Arial" w:eastAsia="Arial" w:hAnsi="Arial"/>
          <w:color w:val="7A6E62"/>
          <w:sz w:val="22"/>
          <w:szCs w:val="22"/>
        </w:rPr>
        <w:t xml:space="preserve">Accessibility first — children under 10 are always free, regardless of group composition.</w:t>
      </w:r>
    </w:p>
    <w:p>
      <w:pPr>
        <w:pStyle w:val="ListParagraph"/>
        <w:numPr>
          <w:ilvl w:val="0"/>
          <w:numId w:val="2"/>
        </w:numPr>
        <w:spacing w:after="40" w:before="40"/>
      </w:pPr>
      <w:r>
        <w:rPr>
          <w:rFonts w:ascii="Arial" w:cs="Arial" w:eastAsia="Arial" w:hAnsi="Arial"/>
          <w:color w:val="7A6E62"/>
          <w:sz w:val="22"/>
          <w:szCs w:val="22"/>
        </w:rPr>
        <w:t xml:space="preserve">Cultural integrity — pricing reflects the genuine expertise and preparation involved in every guided program.</w:t>
      </w:r>
    </w:p>
    <w:p>
      <w:pPr>
        <w:pStyle w:val="ListParagraph"/>
        <w:numPr>
          <w:ilvl w:val="0"/>
          <w:numId w:val="2"/>
        </w:numPr>
        <w:spacing w:after="40" w:before="40"/>
      </w:pPr>
      <w:r>
        <w:rPr>
          <w:rFonts w:ascii="Arial" w:cs="Arial" w:eastAsia="Arial" w:hAnsi="Arial"/>
          <w:color w:val="7A6E62"/>
          <w:sz w:val="22"/>
          <w:szCs w:val="22"/>
        </w:rPr>
        <w:t xml:space="preserve">Flexible for education — schools and not-for-profit cultural organizations may apply for subsidized rates.</w:t>
      </w:r>
    </w:p>
    <w:p>
      <w:pPr>
        <w:pStyle w:val="ListParagraph"/>
        <w:numPr>
          <w:ilvl w:val="0"/>
          <w:numId w:val="2"/>
        </w:numPr>
        <w:spacing w:after="40" w:before="40"/>
      </w:pPr>
      <w:r>
        <w:rPr>
          <w:rFonts w:ascii="Arial" w:cs="Arial" w:eastAsia="Arial" w:hAnsi="Arial"/>
          <w:color w:val="7A6E62"/>
          <w:sz w:val="22"/>
          <w:szCs w:val="22"/>
        </w:rPr>
        <w:t xml:space="preserve">Transparent and simple — no hidden fees; all pricing communicated at point of inquiry.</w:t>
      </w:r>
    </w:p>
    <w:p>
      <w:pPr>
        <w:pStyle w:val="ListParagraph"/>
        <w:numPr>
          <w:ilvl w:val="0"/>
          <w:numId w:val="2"/>
        </w:numPr>
        <w:spacing w:after="40" w:before="40"/>
      </w:pPr>
      <w:r>
        <w:rPr>
          <w:rFonts w:ascii="Arial" w:cs="Arial" w:eastAsia="Arial" w:hAnsi="Arial"/>
          <w:color w:val="7A6E62"/>
          <w:sz w:val="22"/>
          <w:szCs w:val="22"/>
        </w:rPr>
        <w:t xml:space="preserve">Reviewed annually — pricing will be reviewed each year based on operational costs, visitor demand, and sector benchmarks.</w:t>
      </w:r>
    </w:p>
    <w:p>
      <w:pPr>
        <w:pBdr>
          <w:bottom w:val="single" w:color="B85A28" w:sz="6" w:space="6"/>
        </w:pBdr>
        <w:spacing w:after="160" w:before="400"/>
      </w:pPr>
      <w:r>
        <w:rPr>
          <w:rFonts w:ascii="Arial" w:cs="Arial" w:eastAsia="Arial" w:hAnsi="Arial"/>
          <w:b/>
          <w:bCs/>
          <w:caps/>
          <w:color w:val="2A1E10"/>
          <w:sz w:val="36"/>
          <w:szCs w:val="36"/>
        </w:rPr>
        <w:t xml:space="preserve">8.  Closing Statement</w:t>
      </w:r>
    </w:p>
    <w:p>
      <w:pPr>
        <w:spacing w:after="120" w:before="80"/>
        <w:ind w:left="0"/>
        <w:jc w:val="left"/>
      </w:pPr>
      <w:r>
        <w:rPr>
          <w:rFonts w:ascii="Arial" w:cs="Arial" w:eastAsia="Arial" w:hAnsi="Arial"/>
          <w:color w:val="7A6E62"/>
          <w:sz w:val="22"/>
          <w:szCs w:val="22"/>
        </w:rPr>
        <w:t xml:space="preserve">Käsivarsi Cultural Center is not a commercial enterprise first. It is a cultural institution — one that happens to need financial sustainability to fulfill its mission. Every decision about pricing, programming, and growth is made in service of the central purpose: to keep Sámi heritage alive, visible, and respected in the land where it has always belonged.</w:t>
      </w:r>
    </w:p>
    <w:p>
      <w:pPr>
        <w:spacing w:after="120" w:before="80"/>
        <w:ind w:left="0"/>
        <w:jc w:val="left"/>
      </w:pPr>
      <w:r>
        <w:rPr>
          <w:rFonts w:ascii="Arial" w:cs="Arial" w:eastAsia="Arial" w:hAnsi="Arial"/>
          <w:color w:val="7A6E62"/>
          <w:sz w:val="22"/>
          <w:szCs w:val="22"/>
        </w:rPr>
        <w:t xml:space="preserve">The Sámi people of Eanodat have carried their culture through centuries of hardship, displacement, and marginalization. This center exists to honor that resilience — and to ensure that the knowledge held by elders, the skills passed through families, and the deep relationship with the Arctic land are not lost to time.</w:t>
      </w:r>
    </w:p>
    <w:p>
      <w:pPr>
        <w:pBdr>
          <w:left w:val="single" w:color="B85A28" w:sz="12" w:space="12"/>
        </w:pBdr>
        <w:spacing w:after="200" w:before="200"/>
        <w:ind w:left="360"/>
      </w:pPr>
      <w:r>
        <w:rPr>
          <w:rFonts w:ascii="Arial" w:cs="Arial" w:eastAsia="Arial" w:hAnsi="Arial"/>
          <w:i/>
          <w:iCs/>
          <w:color w:val="5C4A32"/>
          <w:sz w:val="23"/>
          <w:szCs w:val="23"/>
        </w:rPr>
        <w:t xml:space="preserve">We invite partners, supporters, educators, and visitors to join us in this work.</w:t>
      </w:r>
    </w:p>
    <w:p>
      <w:pPr>
        <w:spacing w:after="0" w:before="200"/>
      </w:pPr>
      <w:r>
        <w:t xml:space="preserve"/>
      </w:r>
    </w:p>
    <w:p>
      <w:pPr>
        <w:pBdr>
          <w:top w:val="single" w:color="D4C4B0" w:sz="2" w:space="8"/>
        </w:pBdr>
        <w:spacing w:after="60" w:before="80"/>
      </w:pPr>
      <w:r>
        <w:t xml:space="preserve"/>
      </w:r>
    </w:p>
    <w:p>
      <w:pPr>
        <w:spacing w:after="60" w:before="60"/>
      </w:pPr>
      <w:r>
        <w:rPr>
          <w:rFonts w:ascii="Arial" w:cs="Arial" w:eastAsia="Arial" w:hAnsi="Arial"/>
          <w:b/>
          <w:bCs/>
          <w:color w:val="B85A28"/>
          <w:sz w:val="22"/>
          <w:szCs w:val="22"/>
        </w:rPr>
        <w:t xml:space="preserve">Contact:  </w:t>
      </w:r>
      <w:r>
        <w:rPr>
          <w:rFonts w:ascii="Arial" w:cs="Arial" w:eastAsia="Arial" w:hAnsi="Arial"/>
          <w:color w:val="7A6E62"/>
          <w:sz w:val="22"/>
          <w:szCs w:val="22"/>
        </w:rPr>
        <w:t xml:space="preserve">info@kasivarsi.fi</w:t>
      </w:r>
    </w:p>
    <w:p>
      <w:pPr>
        <w:spacing w:after="60" w:before="60"/>
      </w:pPr>
      <w:r>
        <w:rPr>
          <w:rFonts w:ascii="Arial" w:cs="Arial" w:eastAsia="Arial" w:hAnsi="Arial"/>
          <w:b/>
          <w:bCs/>
          <w:color w:val="B85A28"/>
          <w:sz w:val="22"/>
          <w:szCs w:val="22"/>
        </w:rPr>
        <w:t xml:space="preserve">Location:  </w:t>
      </w:r>
      <w:r>
        <w:rPr>
          <w:rFonts w:ascii="Arial" w:cs="Arial" w:eastAsia="Arial" w:hAnsi="Arial"/>
          <w:color w:val="7A6E62"/>
          <w:sz w:val="22"/>
          <w:szCs w:val="22"/>
        </w:rPr>
        <w:t xml:space="preserve">Kilpisjärvi, Eanodat, Finland, 69°N</w:t>
      </w:r>
    </w:p>
    <w:p>
      <w:pPr>
        <w:spacing w:after="60" w:before="60"/>
      </w:pPr>
      <w:r>
        <w:rPr>
          <w:rFonts w:ascii="Arial" w:cs="Arial" w:eastAsia="Arial" w:hAnsi="Arial"/>
          <w:b/>
          <w:bCs/>
          <w:color w:val="B85A28"/>
          <w:sz w:val="22"/>
          <w:szCs w:val="22"/>
        </w:rPr>
        <w:t xml:space="preserve">Opening:  </w:t>
      </w:r>
      <w:r>
        <w:rPr>
          <w:rFonts w:ascii="Arial" w:cs="Arial" w:eastAsia="Arial" w:hAnsi="Arial"/>
          <w:color w:val="7A6E62"/>
          <w:sz w:val="22"/>
          <w:szCs w:val="22"/>
        </w:rPr>
        <w:t xml:space="preserve">Autumn 2026</w:t>
      </w:r>
    </w:p>
    <w:p>
      <w:pPr>
        <w:spacing w:after="60" w:before="60"/>
      </w:pPr>
      <w:r>
        <w:rPr>
          <w:rFonts w:ascii="Arial" w:cs="Arial" w:eastAsia="Arial" w:hAnsi="Arial"/>
          <w:b/>
          <w:bCs/>
          <w:color w:val="B85A28"/>
          <w:sz w:val="22"/>
          <w:szCs w:val="22"/>
        </w:rPr>
        <w:t xml:space="preserve">Funding:  </w:t>
      </w:r>
      <w:r>
        <w:rPr>
          <w:rFonts w:ascii="Arial" w:cs="Arial" w:eastAsia="Arial" w:hAnsi="Arial"/>
          <w:color w:val="7A6E62"/>
          <w:sz w:val="22"/>
          <w:szCs w:val="22"/>
        </w:rPr>
        <w:t xml:space="preserve">Co-funded by the European Union — ERDF 2021–2027</w:t>
      </w:r>
    </w:p>
    <w:p>
      <w:pPr>
        <w:spacing w:after="60" w:before="60"/>
      </w:pPr>
      <w:r>
        <w:rPr>
          <w:rFonts w:ascii="Arial" w:cs="Arial" w:eastAsia="Arial" w:hAnsi="Arial"/>
          <w:b/>
          <w:bCs/>
          <w:color w:val="B85A28"/>
          <w:sz w:val="22"/>
          <w:szCs w:val="22"/>
        </w:rPr>
        <w:t xml:space="preserve">Supported by:  </w:t>
      </w:r>
      <w:r>
        <w:rPr>
          <w:rFonts w:ascii="Arial" w:cs="Arial" w:eastAsia="Arial" w:hAnsi="Arial"/>
          <w:color w:val="7A6E62"/>
          <w:sz w:val="22"/>
          <w:szCs w:val="22"/>
        </w:rPr>
        <w:t xml:space="preserve">Finland Ministry of Education &amp; Culture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4B0" w:sz="2" w:space="4"/>
      </w:pBdr>
      <w:tabs>
        <w:tab w:val="right" w:pos="9026"/>
      </w:tabs>
      <w:spacing w:after="0" w:before="80"/>
    </w:pPr>
    <w:r>
      <w:rPr>
        <w:rFonts w:ascii="Arial" w:cs="Arial" w:eastAsia="Arial" w:hAnsi="Arial"/>
        <w:color w:val="7A6E62"/>
        <w:sz w:val="17"/>
        <w:szCs w:val="17"/>
      </w:rPr>
      <w:t xml:space="preserve">Kilpisjärvi · Eanodat · Finland · 69°N</w:t>
    </w:r>
    <w:r>
      <w:rPr>
        <w:rFonts w:ascii="Arial" w:cs="Arial" w:eastAsia="Arial" w:hAnsi="Arial"/>
        <w:color w:val="7A6E62"/>
        <w:sz w:val="17"/>
        <w:szCs w:val="17"/>
      </w:rPr>
      <w:t xml:space="preserve">	Page </w:t>
    </w:r>
    <w:r>
      <w:rPr>
        <w:rFonts w:ascii="Arial" w:cs="Arial" w:eastAsia="Arial" w:hAnsi="Arial"/>
        <w:color w:val="7A6E6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A28" w:sz="3" w:space="4"/>
      </w:pBdr>
      <w:tabs>
        <w:tab w:val="right" w:pos="9026"/>
      </w:tabs>
      <w:spacing w:after="120" w:before="0"/>
    </w:pPr>
    <w:r>
      <w:rPr>
        <w:rFonts w:ascii="Arial" w:cs="Arial" w:eastAsia="Arial" w:hAnsi="Arial"/>
        <w:color w:val="5C4A32"/>
        <w:sz w:val="18"/>
        <w:szCs w:val="18"/>
      </w:rPr>
      <w:t xml:space="preserve">Käsivarsi Cultural Center</w:t>
    </w:r>
    <w:r>
      <w:rPr>
        <w:rFonts w:ascii="Arial" w:cs="Arial" w:eastAsia="Arial" w:hAnsi="Arial"/>
        <w:color w:val="7A6E62"/>
        <w:sz w:val="18"/>
        <w:szCs w:val="18"/>
      </w:rPr>
      <w:t xml:space="preserve">	Strategic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2026-05-12T10:30:50.504Z</dcterms:created>
  <dcterms:modified xsi:type="dcterms:W3CDTF">2026-05-12T10:30:50.504Z</dcterms:modified>
</cp:coreProperties>
</file>

<file path=docProps/custom.xml><?xml version="1.0" encoding="utf-8"?>
<Properties xmlns="http://schemas.openxmlformats.org/officeDocument/2006/custom-properties" xmlns:vt="http://schemas.openxmlformats.org/officeDocument/2006/docPropsVTypes"/>
</file>