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Protocolo de prevencion del acoso sexual, laboral y la violencia en el trabajo</w:t>
      </w:r>
    </w:p>
    <w:p>
      <w:r>
        <w:t xml:space="preserve">Alimentos del Sur SpA — Version 1 — Fecha: ____________</w:t>
      </w:r>
    </w:p>
    <w:p>
      <w:pPr>
        <w:pStyle w:val="Nota"/>
      </w:pPr>
      <w:r>
        <w:t xml:space="preserve">Borrador base para completar con el organismo administrador de la Ley 16.744 al que esta afiliada la empresa. Los textos entre corchetes deben reemplazarse.</w:t>
      </w:r>
    </w:p>
    <w:p>
      <w:pPr>
        <w:pStyle w:val="Heading1"/>
      </w:pPr>
      <w:r>
        <w:t xml:space="preserve">1. Objetivo y alcance</w:t>
      </w:r>
    </w:p>
    <w:p>
      <w:r>
        <w:t xml:space="preserve">Este protocolo establece las medidas que Alimentos del Sur SpA adopta para prevenir, investigar y sancionar el acoso sexual, el acoso laboral y la violencia en el trabajo, incluida la ejercida por terceros ajenos a la relacion laboral. Aplica a todas las personas trabajadoras, en todos los lugares y modalidades de trabajo.</w:t>
      </w:r>
    </w:p>
    <w:p>
      <w:pPr>
        <w:pStyle w:val="Heading1"/>
      </w:pPr>
      <w:r>
        <w:t xml:space="preserve">2. Definiciones</w:t>
      </w:r>
    </w:p>
    <w:p>
      <w:pPr>
        <w:pStyle w:val="Vineta"/>
      </w:pPr>
      <w:r>
        <w:t xml:space="preserve">• Acoso laboral: agresion u hostigamiento, ejercido por el empleador o por una o mas personas trabajadoras, por cualquier medio, que produzca menoscabo, maltrato o humillacion, o amenace o perjudique la situacion laboral u oportunidades de empleo. Basta un solo acto.</w:t>
      </w:r>
    </w:p>
    <w:p>
      <w:pPr>
        <w:pStyle w:val="Vineta"/>
      </w:pPr>
      <w:r>
        <w:t xml:space="preserve">• Acoso sexual: requerimientos de caracter sexual no consentidos que amenacen o perjudiquen la situacion laboral u oportunidades de empleo.</w:t>
      </w:r>
    </w:p>
    <w:p>
      <w:pPr>
        <w:pStyle w:val="Vineta"/>
      </w:pPr>
      <w:r>
        <w:t xml:space="preserve">• Violencia en el trabajo: conductas ejercidas por terceros ajenos a la relacion laboral, como clientes, proveedores o usuarios.</w:t>
      </w:r>
    </w:p>
    <w:p>
      <w:pPr>
        <w:pStyle w:val="Heading1"/>
      </w:pPr>
      <w:r>
        <w:t xml:space="preserve">3. Identificacion de peligros y evaluacion de riesgos psicosociales</w:t>
      </w:r>
    </w:p>
    <w:p>
      <w:r>
        <w:t xml:space="preserve">[Describir como se identifican los peligros y se evaluan los riesgos psicosociales, con perspectiva de genero, incluyendo la aplicacion del instrumento que indique el organismo administrador y la periodicidad.]</w:t>
      </w:r>
    </w:p>
    <w:p>
      <w:pPr>
        <w:pStyle w:val="Heading1"/>
      </w:pPr>
      <w:r>
        <w:t xml:space="preserve">4. Medidas de prevencion y control con objetivos medibles</w:t>
      </w:r>
    </w:p>
    <w:tbl>
      <w:tblPr>
        <w:tblStyle w:val="TableGrid"/>
        <w:tblW w:w="0" w:type="auto"/>
        <w:tblBorders>
          <w:top w:val="single" w:sz="4" w:color="C9D3CC"/>
          <w:left w:val="none" w:sz="0" w:color="auto"/>
          <w:bottom w:val="single" w:sz="4" w:color="C9D3CC"/>
          <w:right w:val="none" w:sz="0" w:color="auto"/>
          <w:insideH w:val="single" w:sz="4" w:color="E3E6E3"/>
          <w:insideV w:val="none" w:sz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Riesgo identificado</w:t>
            </w:r>
          </w:p>
        </w:tc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Medida</w:t>
            </w:r>
          </w:p>
        </w:tc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Objetivo medible</w:t>
            </w:r>
          </w:p>
        </w:tc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Responsable</w:t>
            </w:r>
          </w:p>
        </w:tc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Plazo</w:t>
            </w:r>
          </w:p>
        </w:tc>
      </w:tr>
      <w:tr>
        <w:tc>
          <w:tcPr>
            <w:tcW w:w="1800" w:type="dxa"/>
          </w:tcPr>
          <w:p>
            <w:r>
              <w:t xml:space="preserve">[Riesgo]</w:t>
            </w:r>
          </w:p>
        </w:tc>
        <w:tc>
          <w:tcPr>
            <w:tcW w:w="1800" w:type="dxa"/>
          </w:tcPr>
          <w:p>
            <w:r>
              <w:t xml:space="preserve">[Medida]</w:t>
            </w:r>
          </w:p>
        </w:tc>
        <w:tc>
          <w:tcPr>
            <w:tcW w:w="1800" w:type="dxa"/>
          </w:tcPr>
          <w:p>
            <w:r>
              <w:t xml:space="preserve">[Indicador y meta]</w:t>
            </w:r>
          </w:p>
        </w:tc>
        <w:tc>
          <w:tcPr>
            <w:tcW w:w="1800" w:type="dxa"/>
          </w:tcPr>
          <w:p>
            <w:r>
              <w:t xml:space="preserve">[Cargo]</w:t>
            </w:r>
          </w:p>
        </w:tc>
        <w:tc>
          <w:tcPr>
            <w:tcW w:w="1800" w:type="dxa"/>
          </w:tcPr>
          <w:p>
            <w:r>
              <w:t xml:space="preserve">[Fecha]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</w:tbl>
    <w:p/>
    <w:p>
      <w:pPr>
        <w:pStyle w:val="Heading1"/>
      </w:pPr>
      <w:r>
        <w:t xml:space="preserve">5. Informacion y capacitacion</w:t>
      </w:r>
    </w:p>
    <w:p>
      <w:r>
        <w:t xml:space="preserve">[Detallar como se informa y capacita sobre los riesgos, las medidas de prevencion y proteccion, y los derechos y responsabilidades. Incluir frecuencia, medios y registro de asistencia.]</w:t>
      </w:r>
    </w:p>
    <w:p>
      <w:pPr>
        <w:pStyle w:val="Heading1"/>
      </w:pPr>
      <w:r>
        <w:t xml:space="preserve">6. Canales de denuncia</w:t>
      </w:r>
    </w:p>
    <w:p>
      <w:r>
        <w:t xml:space="preserve">[Indicar los canales internos: persona o cargo responsable, correo, formulario y forma de presentar la denuncia verbal o escrita. Indicar tambien que se puede denunciar ante la Inspeccion del Trabajo.] La empresa informara estos canales al menos cada seis meses.</w:t>
      </w:r>
    </w:p>
    <w:p>
      <w:pPr>
        <w:pStyle w:val="Heading1"/>
      </w:pPr>
      <w:r>
        <w:t xml:space="preserve">7. Procedimiento de investigacion y sancion</w:t>
      </w:r>
    </w:p>
    <w:p>
      <w:pPr>
        <w:pStyle w:val="Vineta"/>
      </w:pPr>
      <w:r>
        <w:t xml:space="preserve">1. Recibida la denuncia, la empresa adopta de inmediato medidas de resguardo.</w:t>
      </w:r>
    </w:p>
    <w:p>
      <w:pPr>
        <w:pStyle w:val="Vineta"/>
      </w:pPr>
      <w:r>
        <w:t xml:space="preserve">2. Dentro de 3 dias habiles informa a la Direccion del Trabajo el inicio de la investigacion interna, o le remite la denuncia con sus antecedentes.</w:t>
      </w:r>
    </w:p>
    <w:p>
      <w:pPr>
        <w:pStyle w:val="Vineta"/>
      </w:pPr>
      <w:r>
        <w:t xml:space="preserve">3. Designa a la persona investigadora, preferentemente con formacion en acoso, genero o derechos fundamentales, y lo informa por escrito a quien denuncia.</w:t>
      </w:r>
    </w:p>
    <w:p>
      <w:pPr>
        <w:pStyle w:val="Vineta"/>
      </w:pPr>
      <w:r>
        <w:t xml:space="preserve">4. La investigacion concluye dentro de 30 dias habiles, por escrito y en reserva, oyendo a ambas partes.</w:t>
      </w:r>
    </w:p>
    <w:p>
      <w:pPr>
        <w:pStyle w:val="Vineta"/>
      </w:pPr>
      <w:r>
        <w:t xml:space="preserve">5. Dentro de 2 dias habiles se remite el informe a la Direccion del Trabajo.</w:t>
      </w:r>
    </w:p>
    <w:p>
      <w:pPr>
        <w:pStyle w:val="Vineta"/>
      </w:pPr>
      <w:r>
        <w:t xml:space="preserve">6. Con el pronunciamiento de la Direccion del Trabajo, o vencido su plazo de 30 dias habiles, la empresa aplica las medidas o sanciones dentro de 15 dias corridos e informa a ambas partes.</w:t>
      </w:r>
    </w:p>
    <w:p>
      <w:pPr>
        <w:pStyle w:val="Heading1"/>
      </w:pPr>
      <w:r>
        <w:t xml:space="preserve">8. Resguardo de la privacidad y la honra</w:t>
      </w:r>
    </w:p>
    <w:p>
      <w:r>
        <w:t xml:space="preserve">Todas las actuaciones se realizan en estricta reserva. Se protege la privacidad y la honra de todas las personas involucradas, cualquiera sea el resultado de la investigacion. Se prohiben las represalias contra quien denuncia o declara. [Describir las medidas ante denuncias inconsistentes.]</w:t>
      </w:r>
    </w:p>
    <w:p>
      <w:pPr>
        <w:pStyle w:val="Heading1"/>
      </w:pPr>
      <w:r>
        <w:t xml:space="preserve">9. Difusion y vigencia</w:t>
      </w:r>
    </w:p>
    <w:p>
      <w:r>
        <w:t xml:space="preserve">[Indicar como se pone a disposicion: incorporacion al Reglamento Interno para empresas con 10 o mas personas trabajadoras, o entrega por escrito al firmar el contrato e incorporacion al reglamento del art. 67 de la Ley 16.744 en empresas mas pequeñas. Recordar la remision de copia del reglamento interno al Ministerio de Salud y a la Direccion del Trabajo dentro de los 5 dias siguientes a su vigencia.]</w:t>
      </w:r>
    </w:p>
    <w:sectPr>
      <w:pgSz w:w="11906" w:h="16838"/>
      <w:pgMar w:top="1134" w:right="1134" w:bottom="1134" w:left="1134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40" w:line="276" w:lineRule="auto"/>
    </w:pPr>
  </w:style>
  <w:style w:type="paragraph" w:styleId="Title">
    <w:name w:val="Title"/>
    <w:basedOn w:val="Normal"/>
    <w:pPr>
      <w:spacing w:after="240"/>
    </w:pPr>
    <w:rPr>
      <w:b/>
      <w:color w:val="1B4332"/>
      <w:sz w:val="52"/>
    </w:rPr>
  </w:style>
  <w:style w:type="paragraph" w:styleId="Heading1">
    <w:name w:val="heading 1"/>
    <w:basedOn w:val="Normal"/>
    <w:pPr>
      <w:outlineLvl w:val="0"/>
      <w:spacing w:before="320" w:after="120"/>
    </w:pPr>
    <w:rPr>
      <w:b/>
      <w:color w:val="1B4332"/>
      <w:sz w:val="32"/>
    </w:rPr>
  </w:style>
  <w:style w:type="paragraph" w:styleId="Heading2">
    <w:name w:val="heading 2"/>
    <w:basedOn w:val="Normal"/>
    <w:pPr>
      <w:outlineLvl w:val="1"/>
      <w:spacing w:before="240" w:after="100"/>
    </w:pPr>
    <w:rPr>
      <w:b/>
      <w:color w:val="2D6A4F"/>
      <w:sz w:val="26"/>
    </w:rPr>
  </w:style>
  <w:style w:type="paragraph" w:styleId="Heading3">
    <w:name w:val="heading 3"/>
    <w:basedOn w:val="Normal"/>
    <w:pPr>
      <w:outlineLvl w:val="2"/>
      <w:spacing w:before="200" w:after="80"/>
    </w:pPr>
    <w:rPr>
      <w:b/>
      <w:color w:val="40916C"/>
      <w:sz w:val="24"/>
    </w:rPr>
  </w:style>
  <w:style w:type="paragraph" w:styleId="Nota">
    <w:name w:val="Nota"/>
    <w:basedOn w:val="Normal"/>
    <w:pPr>
      <w:ind w:left="284"/>
      <w:pBdr>
        <w:left w:val="single" w:sz="18" w:space="8" w:color="2D6A4F"/>
      </w:pBdr>
    </w:pPr>
    <w:rPr>
      <w:i/>
      <w:color w:val="404040"/>
    </w:rPr>
  </w:style>
  <w:style w:type="paragraph" w:styleId="Vineta">
    <w:name w:val="Vineta"/>
    <w:basedOn w:val="Normal"/>
    <w:pPr>
      <w:ind w:left="426" w:hanging="220"/>
      <w:spacing w:after="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Protocolo de prevencion (Ley 21.643)</dc:title>
  <dc:creator>Agentes ESG</dc:creator>
  <cp:lastModifiedBy>Agentes ESG</cp:lastModifiedBy>
</cp:coreProperties>
</file>