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Procedimiento de atencion de derechos de las personas</w:t>
      </w:r>
    </w:p>
    <w:p>
      <w:r>
        <w:t xml:space="preserve">Alimentos del Sur SpA — Version [__] — Fecha: ____________</w:t>
      </w:r>
    </w:p>
    <w:p>
      <w:pPr>
        <w:pStyle w:val="Nota"/>
      </w:pPr>
      <w:r>
        <w:t xml:space="preserve">BORRADOR. Estructura base para responder solicitudes de acceso, rectificacion, supresion, oposicion, portabilidad y bloqueo (arts. 4 a 10 de la Ley 21.719). Todo lo que aparece entre corchetes debe completarlo la empresa antes de publicarlo o firmarlo.</w:t>
      </w:r>
    </w:p>
    <w:p>
      <w:pPr>
        <w:pStyle w:val="Heading1"/>
      </w:pPr>
      <w:r>
        <w:t xml:space="preserve">1. Quien puede pedir y que puede pedir</w:t>
      </w:r>
    </w:p>
    <w:p>
      <w:r>
        <w:t xml:space="preserve">Cualquier persona cuyos datos trate la empresa: trabajadores, postulantes, clientes, proveedores, visitas. Puede pedir acceso, rectificacion, supresion, oposicion, portabilidad y bloqueo temporal.</w:t>
      </w:r>
    </w:p>
    <w:p>
      <w:pPr>
        <w:pStyle w:val="Heading1"/>
      </w:pPr>
      <w:r>
        <w:t xml:space="preserve">2. Por donde se reciben las solicitudes</w:t>
      </w:r>
    </w:p>
    <w:p>
      <w:r>
        <w:t xml:space="preserve">[Indicar correo, formulario u oficina, y quien las revisa.]</w:t>
      </w:r>
    </w:p>
    <w:p>
      <w:pPr>
        <w:pStyle w:val="Heading1"/>
      </w:pPr>
      <w:r>
        <w:t xml:space="preserve">3. Como verificamos quien pide</w:t>
      </w:r>
    </w:p>
    <w:p>
      <w:r>
        <w:t xml:space="preserve">[Describir como se confirma la identidad sin pedir mas datos de los necesarios, y como se trata la solicitud de un tercero autorizado.]</w:t>
      </w:r>
    </w:p>
    <w:p>
      <w:pPr>
        <w:pStyle w:val="Heading1"/>
      </w:pPr>
      <w:r>
        <w:t xml:space="preserve">4. Pasos y plazos internos</w:t>
      </w:r>
    </w:p>
    <w:tbl>
      <w:tblPr>
        <w:tblStyle w:val="TableGrid"/>
        <w:tblW w:w="0" w:type="auto"/>
        <w:tblBorders>
          <w:top w:val="single" w:sz="4" w:color="C9D3CC"/>
          <w:left w:val="none" w:sz="0" w:color="auto"/>
          <w:bottom w:val="single" w:sz="4" w:color="C9D3CC"/>
          <w:right w:val="none" w:sz="0" w:color="auto"/>
          <w:insideH w:val="single" w:sz="4" w:color="E3E6E3"/>
          <w:insideV w:val="none" w:sz="0" w:color="auto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  <w:shd w:val="clear" w:fill="D8F3DC"/>
          </w:tcPr>
          <w:p>
            <w:r>
              <w:rPr>
                <w:b/>
              </w:rPr>
              <w:t xml:space="preserve">Paso</w:t>
            </w:r>
          </w:p>
        </w:tc>
        <w:tc>
          <w:tcPr>
            <w:tcW w:w="3000" w:type="dxa"/>
            <w:shd w:val="clear" w:fill="D8F3DC"/>
          </w:tcPr>
          <w:p>
            <w:r>
              <w:rPr>
                <w:b/>
              </w:rPr>
              <w:t xml:space="preserve">Responsable</w:t>
            </w:r>
          </w:p>
        </w:tc>
        <w:tc>
          <w:tcPr>
            <w:tcW w:w="3000" w:type="dxa"/>
            <w:shd w:val="clear" w:fill="D8F3DC"/>
          </w:tcPr>
          <w:p>
            <w:r>
              <w:rPr>
                <w:b/>
              </w:rPr>
              <w:t xml:space="preserve">Plazo comprometido</w:t>
            </w:r>
          </w:p>
        </w:tc>
      </w:tr>
      <w:tr>
        <w:tc>
          <w:tcPr>
            <w:tcW w:w="3000" w:type="dxa"/>
          </w:tcPr>
          <w:p>
            <w:r>
              <w:t xml:space="preserve">Acuse de recibo</w:t>
            </w:r>
          </w:p>
        </w:tc>
        <w:tc>
          <w:tcPr>
            <w:tcW w:w="3000" w:type="dxa"/>
          </w:tcPr>
          <w:p>
            <w:r>
              <w:t xml:space="preserve">[cargo]</w:t>
            </w:r>
          </w:p>
        </w:tc>
        <w:tc>
          <w:tcPr>
            <w:tcW w:w="3000" w:type="dxa"/>
          </w:tcPr>
          <w:p>
            <w:r>
              <w:t xml:space="preserve">[plazo]</w:t>
            </w:r>
          </w:p>
        </w:tc>
      </w:tr>
      <w:tr>
        <w:tc>
          <w:tcPr>
            <w:tcW w:w="3000" w:type="dxa"/>
          </w:tcPr>
          <w:p>
            <w:r>
              <w:t xml:space="preserve">Busqueda de los datos en los sistemas</w:t>
            </w:r>
          </w:p>
        </w:tc>
        <w:tc>
          <w:tcPr>
            <w:tcW w:w="3000" w:type="dxa"/>
          </w:tcPr>
          <w:p>
            <w:r>
              <w:t xml:space="preserve">[cargo]</w:t>
            </w:r>
          </w:p>
        </w:tc>
        <w:tc>
          <w:tcPr>
            <w:tcW w:w="3000" w:type="dxa"/>
          </w:tcPr>
          <w:p>
            <w:r>
              <w:t xml:space="preserve">[plazo]</w:t>
            </w:r>
          </w:p>
        </w:tc>
      </w:tr>
      <w:tr>
        <w:tc>
          <w:tcPr>
            <w:tcW w:w="3000" w:type="dxa"/>
          </w:tcPr>
          <w:p>
            <w:r>
              <w:t xml:space="preserve">Respuesta a la persona</w:t>
            </w:r>
          </w:p>
        </w:tc>
        <w:tc>
          <w:tcPr>
            <w:tcW w:w="3000" w:type="dxa"/>
          </w:tcPr>
          <w:p>
            <w:r>
              <w:t xml:space="preserve">[cargo]</w:t>
            </w:r>
          </w:p>
        </w:tc>
        <w:tc>
          <w:tcPr>
            <w:tcW w:w="3000" w:type="dxa"/>
          </w:tcPr>
          <w:p>
            <w:r>
              <w:t xml:space="preserve">[plazo]</w:t>
            </w:r>
          </w:p>
        </w:tc>
      </w:tr>
      <w:tr>
        <w:tc>
          <w:tcPr>
            <w:tcW w:w="3000" w:type="dxa"/>
          </w:tcPr>
          <w:p>
            <w:r>
              <w:t xml:space="preserve">Bloqueo temporal mientras se resuelve</w:t>
            </w:r>
          </w:p>
        </w:tc>
        <w:tc>
          <w:tcPr>
            <w:tcW w:w="3000" w:type="dxa"/>
          </w:tcPr>
          <w:p>
            <w:r>
              <w:t xml:space="preserve">[cargo]</w:t>
            </w:r>
          </w:p>
        </w:tc>
        <w:tc>
          <w:tcPr>
            <w:tcW w:w="3000" w:type="dxa"/>
          </w:tcPr>
          <w:p>
            <w:r>
              <w:t xml:space="preserve">2 dias habiles (plazo legal)</w:t>
            </w:r>
          </w:p>
        </w:tc>
      </w:tr>
      <w:tr>
        <w:tc>
          <w:tcPr>
            <w:tcW w:w="3000" w:type="dxa"/>
          </w:tcPr>
          <w:p>
            <w:r>
              <w:t xml:space="preserve">Registro de la solicitud y su respuesta</w:t>
            </w:r>
          </w:p>
        </w:tc>
        <w:tc>
          <w:tcPr>
            <w:tcW w:w="3000" w:type="dxa"/>
          </w:tcPr>
          <w:p>
            <w:r>
              <w:t xml:space="preserve">[cargo]</w:t>
            </w:r>
          </w:p>
        </w:tc>
        <w:tc>
          <w:tcPr>
            <w:tcW w:w="3000" w:type="dxa"/>
          </w:tcPr>
          <w:p>
            <w:r>
              <w:t xml:space="preserve">[plazo]</w:t>
            </w:r>
          </w:p>
        </w:tc>
      </w:tr>
    </w:tbl>
    <w:p/>
    <w:p>
      <w:pPr>
        <w:pStyle w:val="Nota"/>
      </w:pPr>
      <w:r>
        <w:t xml:space="preserve">El unico plazo de esta tabla que fija la ley es el del bloqueo temporal: 2 dias habiles. Los demas los define la empresa, y la ley exige que el ejercicio sea expedito, agil y eficaz.</w:t>
      </w:r>
    </w:p>
    <w:p>
      <w:pPr>
        <w:pStyle w:val="Heading1"/>
      </w:pPr>
      <w:r>
        <w:t xml:space="preserve">5. Gratuidad</w:t>
      </w:r>
    </w:p>
    <w:p>
      <w:r>
        <w:t xml:space="preserve">Acceso, rectificacion, supresion y oposicion son siempre gratuitos. El acceso es gratuito al menos una vez por trimestre; si se pide mas seguido, la empresa puede cobrar solo los costos directos.</w:t>
      </w:r>
    </w:p>
    <w:p>
      <w:pPr>
        <w:pStyle w:val="Heading1"/>
      </w:pPr>
      <w:r>
        <w:t xml:space="preserve">6. Cuando se puede rechazar una solicitud</w:t>
      </w:r>
    </w:p>
    <w:p>
      <w:r>
        <w:t xml:space="preserve">[Indicar los casos en que no procede la supresion, por ejemplo cuando hay una obligacion legal o contractual de conservar el dato, y como se explica esa negativa por escrito.]</w:t>
      </w:r>
    </w:p>
    <w:p>
      <w:pPr>
        <w:pStyle w:val="Heading1"/>
      </w:pPr>
      <w:r>
        <w:t xml:space="preserve">7. Registro de solicitudes</w:t>
      </w:r>
    </w:p>
    <w:tbl>
      <w:tblPr>
        <w:tblStyle w:val="TableGrid"/>
        <w:tblW w:w="0" w:type="auto"/>
        <w:tblBorders>
          <w:top w:val="single" w:sz="4" w:color="C9D3CC"/>
          <w:left w:val="none" w:sz="0" w:color="auto"/>
          <w:bottom w:val="single" w:sz="4" w:color="C9D3CC"/>
          <w:right w:val="none" w:sz="0" w:color="auto"/>
          <w:insideH w:val="single" w:sz="4" w:color="E3E6E3"/>
          <w:insideV w:val="none" w:sz="0" w:color="auto"/>
        </w:tblBorders>
      </w:tblPr>
      <w:tblGrid>
        <w:gridCol w:w="1800"/>
        <w:gridCol w:w="1800"/>
        <w:gridCol w:w="1800"/>
        <w:gridCol w:w="1800"/>
        <w:gridCol w:w="1800"/>
      </w:tblGrid>
      <w:tr>
        <w:trPr>
          <w:tblHeader/>
        </w:trPr>
        <w:tc>
          <w:tcPr>
            <w:tcW w:w="1800" w:type="dxa"/>
            <w:shd w:val="clear" w:fill="D8F3DC"/>
          </w:tcPr>
          <w:p>
            <w:r>
              <w:rPr>
                <w:b/>
              </w:rPr>
              <w:t xml:space="preserve">N°</w:t>
            </w:r>
          </w:p>
        </w:tc>
        <w:tc>
          <w:tcPr>
            <w:tcW w:w="1800" w:type="dxa"/>
            <w:shd w:val="clear" w:fill="D8F3DC"/>
          </w:tcPr>
          <w:p>
            <w:r>
              <w:rPr>
                <w:b/>
              </w:rPr>
              <w:t xml:space="preserve">Fecha</w:t>
            </w:r>
          </w:p>
        </w:tc>
        <w:tc>
          <w:tcPr>
            <w:tcW w:w="1800" w:type="dxa"/>
            <w:shd w:val="clear" w:fill="D8F3DC"/>
          </w:tcPr>
          <w:p>
            <w:r>
              <w:rPr>
                <w:b/>
              </w:rPr>
              <w:t xml:space="preserve">Tipo de solicitud</w:t>
            </w:r>
          </w:p>
        </w:tc>
        <w:tc>
          <w:tcPr>
            <w:tcW w:w="1800" w:type="dxa"/>
            <w:shd w:val="clear" w:fill="D8F3DC"/>
          </w:tcPr>
          <w:p>
            <w:r>
              <w:rPr>
                <w:b/>
              </w:rPr>
              <w:t xml:space="preserve">Estado</w:t>
            </w:r>
          </w:p>
        </w:tc>
        <w:tc>
          <w:tcPr>
            <w:tcW w:w="1800" w:type="dxa"/>
            <w:shd w:val="clear" w:fill="D8F3DC"/>
          </w:tcPr>
          <w:p>
            <w:r>
              <w:rPr>
                <w:b/>
              </w:rPr>
              <w:t xml:space="preserve">Fecha de respuesta</w:t>
            </w:r>
          </w:p>
        </w:tc>
      </w:tr>
      <w:tr>
        <w:tc>
          <w:tcPr>
            <w:tcW w:w="1800" w:type="dxa"/>
          </w:tcPr>
          <w:p>
            <w:r>
              <w:t xml:space="preserve">1</w:t>
            </w:r>
          </w:p>
        </w:tc>
        <w:tc>
          <w:tcPr>
            <w:tcW w:w="1800" w:type="dxa"/>
          </w:tcPr>
          <w:p>
            <w:r>
              <w:t xml:space="preserve"/>
            </w:r>
          </w:p>
        </w:tc>
        <w:tc>
          <w:tcPr>
            <w:tcW w:w="1800" w:type="dxa"/>
          </w:tcPr>
          <w:p>
            <w:r>
              <w:t xml:space="preserve"/>
            </w:r>
          </w:p>
        </w:tc>
        <w:tc>
          <w:tcPr>
            <w:tcW w:w="1800" w:type="dxa"/>
          </w:tcPr>
          <w:p>
            <w:r>
              <w:t xml:space="preserve"/>
            </w:r>
          </w:p>
        </w:tc>
        <w:tc>
          <w:tcPr>
            <w:tcW w:w="1800" w:type="dxa"/>
          </w:tcPr>
          <w:p>
            <w:r>
              <w:t xml:space="preserve"/>
            </w:r>
          </w:p>
        </w:tc>
      </w:tr>
      <w:tr>
        <w:tc>
          <w:tcPr>
            <w:tcW w:w="1800" w:type="dxa"/>
          </w:tcPr>
          <w:p>
            <w:r>
              <w:t xml:space="preserve">2</w:t>
            </w:r>
          </w:p>
        </w:tc>
        <w:tc>
          <w:tcPr>
            <w:tcW w:w="1800" w:type="dxa"/>
          </w:tcPr>
          <w:p>
            <w:r>
              <w:t xml:space="preserve"/>
            </w:r>
          </w:p>
        </w:tc>
        <w:tc>
          <w:tcPr>
            <w:tcW w:w="1800" w:type="dxa"/>
          </w:tcPr>
          <w:p>
            <w:r>
              <w:t xml:space="preserve"/>
            </w:r>
          </w:p>
        </w:tc>
        <w:tc>
          <w:tcPr>
            <w:tcW w:w="1800" w:type="dxa"/>
          </w:tcPr>
          <w:p>
            <w:r>
              <w:t xml:space="preserve"/>
            </w:r>
          </w:p>
        </w:tc>
        <w:tc>
          <w:tcPr>
            <w:tcW w:w="1800" w:type="dxa"/>
          </w:tcPr>
          <w:p>
            <w:r>
              <w:t xml:space="preserve"/>
            </w:r>
          </w:p>
        </w:tc>
      </w:tr>
      <w:tr>
        <w:tc>
          <w:tcPr>
            <w:tcW w:w="1800" w:type="dxa"/>
          </w:tcPr>
          <w:p>
            <w:r>
              <w:t xml:space="preserve">3</w:t>
            </w:r>
          </w:p>
        </w:tc>
        <w:tc>
          <w:tcPr>
            <w:tcW w:w="1800" w:type="dxa"/>
          </w:tcPr>
          <w:p>
            <w:r>
              <w:t xml:space="preserve"/>
            </w:r>
          </w:p>
        </w:tc>
        <w:tc>
          <w:tcPr>
            <w:tcW w:w="1800" w:type="dxa"/>
          </w:tcPr>
          <w:p>
            <w:r>
              <w:t xml:space="preserve"/>
            </w:r>
          </w:p>
        </w:tc>
        <w:tc>
          <w:tcPr>
            <w:tcW w:w="1800" w:type="dxa"/>
          </w:tcPr>
          <w:p>
            <w:r>
              <w:t xml:space="preserve"/>
            </w:r>
          </w:p>
        </w:tc>
        <w:tc>
          <w:tcPr>
            <w:tcW w:w="1800" w:type="dxa"/>
          </w:tcPr>
          <w:p>
            <w:r>
              <w:t xml:space="preserve"/>
            </w:r>
          </w:p>
        </w:tc>
      </w:tr>
    </w:tbl>
    <w:p/>
    <w:p>
      <w:pPr>
        <w:pStyle w:val="Nota"/>
      </w:pPr>
      <w:r>
        <w:t xml:space="preserve">En el registro usa un codigo o las iniciales de la persona: el registro de solicitudes tambien contiene datos personales.</w:t>
      </w:r>
    </w:p>
    <w:p>
      <w:pPr>
        <w:pStyle w:val="Heading1"/>
      </w:pPr>
      <w:r>
        <w:t xml:space="preserve">8. Si la persona no queda conforme</w:t>
      </w:r>
    </w:p>
    <w:p>
      <w:r>
        <w:t xml:space="preserve">Se le informa que puede reclamar ante la Agencia de Proteccion de Datos Personales. [Indicar como se deja constancia de esa informacion.]</w:t>
      </w:r>
    </w:p>
    <w:sectPr>
      <w:pgSz w:w="11906" w:h="16838"/>
      <w:pgMar w:top="1134" w:right="1134" w:bottom="1134" w:left="1134" w:header="709" w:footer="709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</w:docDefaults>
  <w:style w:type="paragraph" w:default="1" w:styleId="Normal">
    <w:name w:val="Normal"/>
    <w:pPr>
      <w:spacing w:after="140" w:line="276" w:lineRule="auto"/>
    </w:pPr>
  </w:style>
  <w:style w:type="paragraph" w:styleId="Title">
    <w:name w:val="Title"/>
    <w:basedOn w:val="Normal"/>
    <w:pPr>
      <w:spacing w:after="240"/>
    </w:pPr>
    <w:rPr>
      <w:b/>
      <w:color w:val="1B4332"/>
      <w:sz w:val="52"/>
    </w:rPr>
  </w:style>
  <w:style w:type="paragraph" w:styleId="Heading1">
    <w:name w:val="heading 1"/>
    <w:basedOn w:val="Normal"/>
    <w:pPr>
      <w:outlineLvl w:val="0"/>
      <w:spacing w:before="320" w:after="120"/>
    </w:pPr>
    <w:rPr>
      <w:b/>
      <w:color w:val="1B4332"/>
      <w:sz w:val="32"/>
    </w:rPr>
  </w:style>
  <w:style w:type="paragraph" w:styleId="Heading2">
    <w:name w:val="heading 2"/>
    <w:basedOn w:val="Normal"/>
    <w:pPr>
      <w:outlineLvl w:val="1"/>
      <w:spacing w:before="240" w:after="100"/>
    </w:pPr>
    <w:rPr>
      <w:b/>
      <w:color w:val="2D6A4F"/>
      <w:sz w:val="26"/>
    </w:rPr>
  </w:style>
  <w:style w:type="paragraph" w:styleId="Heading3">
    <w:name w:val="heading 3"/>
    <w:basedOn w:val="Normal"/>
    <w:pPr>
      <w:outlineLvl w:val="2"/>
      <w:spacing w:before="200" w:after="80"/>
    </w:pPr>
    <w:rPr>
      <w:b/>
      <w:color w:val="40916C"/>
      <w:sz w:val="24"/>
    </w:rPr>
  </w:style>
  <w:style w:type="paragraph" w:styleId="Nota">
    <w:name w:val="Nota"/>
    <w:basedOn w:val="Normal"/>
    <w:pPr>
      <w:ind w:left="284"/>
      <w:pBdr>
        <w:left w:val="single" w:sz="18" w:space="8" w:color="2D6A4F"/>
      </w:pBdr>
    </w:pPr>
    <w:rPr>
      <w:i/>
      <w:color w:val="404040"/>
    </w:rPr>
  </w:style>
  <w:style w:type="paragraph" w:styleId="Vineta">
    <w:name w:val="Vineta"/>
    <w:basedOn w:val="Normal"/>
    <w:pPr>
      <w:ind w:left="426" w:hanging="220"/>
      <w:spacing w:after="60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core.xml><?xml version="1.0" encoding="utf-8"?>
<cp:coreProperties xmlns:cp="http://schemas.openxmlformats.org/package/2006/metadata/core-properties" xmlns:dc="http://purl.org/dc/elements/1.1/">
  <dc:title>Procedimiento de atencion de derechos</dc:title>
  <dc:creator>Agentes ESG</dc:creator>
  <cp:lastModifiedBy>Agentes ESG</cp:lastModifiedBy>
</cp:coreProperties>
</file>