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4682A">
      <w:pPr>
        <w:spacing w:after="80"/>
        <w:jc w:val="center"/>
        <w:rPr>
          <w:rFonts w:hint="eastAsia" w:ascii="华文宋体" w:hAnsi="华文宋体" w:eastAsia="华文宋体" w:cs="华文宋体"/>
          <w:b/>
          <w:color w:val="002FA7"/>
          <w:sz w:val="44"/>
        </w:rPr>
      </w:pPr>
      <w:r>
        <w:rPr>
          <w:rFonts w:hint="eastAsia" w:ascii="华文宋体" w:hAnsi="华文宋体" w:eastAsia="华文宋体" w:cs="华文宋体"/>
          <w:b/>
          <w:bCs w:val="0"/>
          <w:color w:val="002FA7"/>
          <w:sz w:val="44"/>
        </w:rPr>
        <w:t>家安</w:t>
      </w:r>
      <w:r>
        <w:rPr>
          <w:rFonts w:hint="eastAsia" w:ascii="华文宋体" w:hAnsi="华文宋体" w:eastAsia="华文宋体" w:cs="华文宋体"/>
          <w:b/>
          <w:bCs w:val="0"/>
          <w:color w:val="002FA7"/>
          <w:sz w:val="44"/>
          <w:lang w:val="en-US" w:eastAsia="zh-CN"/>
        </w:rPr>
        <w:t>科技</w:t>
      </w:r>
      <w:r>
        <w:rPr>
          <w:rFonts w:hint="default" w:ascii="Helvetica" w:hAnsi="Helvetica" w:eastAsia="华文宋体" w:cs="Helvetica"/>
          <w:b/>
          <w:bCs w:val="0"/>
          <w:color w:val="002FA7"/>
          <w:sz w:val="44"/>
          <w:lang w:eastAsia="zh-CN"/>
        </w:rPr>
        <w:t>hous</w:t>
      </w:r>
      <w:r>
        <w:rPr>
          <w:rFonts w:hint="default" w:ascii="Helvetica" w:hAnsi="Helvetica" w:eastAsia="华文宋体" w:cs="Helvetica"/>
          <w:b/>
          <w:bCs w:val="0"/>
          <w:color w:val="002FA7"/>
          <w:sz w:val="44"/>
          <w:lang w:val="en-US" w:eastAsia="zh-CN"/>
        </w:rPr>
        <w:t>af</w:t>
      </w:r>
      <w:r>
        <w:rPr>
          <w:rFonts w:hint="default" w:ascii="Helvetica" w:hAnsi="Helvetica" w:eastAsia="华文宋体" w:cs="Helvetica"/>
          <w:b/>
          <w:bCs w:val="0"/>
          <w:color w:val="002FA7"/>
          <w:sz w:val="44"/>
          <w:lang w:eastAsia="zh-CN"/>
        </w:rPr>
        <w:t>e</w:t>
      </w:r>
      <w:r>
        <w:rPr>
          <w:rFonts w:hint="eastAsia" w:ascii="Helvetica" w:hAnsi="Helvetica" w:eastAsia="华文宋体" w:cs="Helvetica"/>
          <w:b/>
          <w:bCs w:val="0"/>
          <w:color w:val="002FA7"/>
          <w:sz w:val="44"/>
          <w:lang w:val="en-US" w:eastAsia="zh-CN"/>
        </w:rPr>
        <w:t>融资</w:t>
      </w:r>
      <w:r>
        <w:rPr>
          <w:rFonts w:hint="eastAsia" w:ascii="华文宋体" w:hAnsi="华文宋体" w:eastAsia="华文宋体" w:cs="华文宋体"/>
          <w:b/>
          <w:bCs w:val="0"/>
          <w:color w:val="002FA7"/>
          <w:sz w:val="44"/>
        </w:rPr>
        <w:t>执行</w:t>
      </w:r>
      <w:r>
        <w:rPr>
          <w:rFonts w:hint="eastAsia" w:ascii="华文宋体" w:hAnsi="华文宋体" w:eastAsia="华文宋体" w:cs="华文宋体"/>
          <w:b/>
          <w:bCs w:val="0"/>
          <w:color w:val="002FA7"/>
          <w:sz w:val="44"/>
          <w:lang w:val="en-US" w:eastAsia="zh-CN"/>
        </w:rPr>
        <w:t>计划</w:t>
      </w:r>
      <w:r>
        <w:rPr>
          <w:rFonts w:hint="eastAsia" w:ascii="华文宋体" w:hAnsi="华文宋体" w:eastAsia="华文宋体" w:cs="华文宋体"/>
          <w:b/>
          <w:color w:val="002FA7"/>
          <w:sz w:val="44"/>
        </w:rPr>
        <w:t>摘要</w:t>
      </w:r>
    </w:p>
    <w:p w14:paraId="0576E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 w:val="0"/>
          <w:color w:val="002FA7"/>
          <w:sz w:val="26"/>
          <w:lang w:val="en-US" w:eastAsia="zh-CN"/>
        </w:rPr>
        <w:t>一、项目简介</w:t>
      </w:r>
    </w:p>
    <w:p w14:paraId="0BC81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家安科技面向与父母异地居住的子女，提供全屋毫米波雷达硬件套装与 AI 健康监测订阅服务。2–4 个雷达感应器安装于独居老人家中，持续感知姿态、活动、呼吸与心率，云端世界模型（ELPD）识别跌倒、长时间静止、生命体征异常与日常模式偏离四类事件，按严重程度分级通知子女。系统不依赖摄像头、不需要老人穿戴任何设备、不需要老人任何操作。</w:t>
      </w:r>
    </w:p>
    <w:p w14:paraId="4AFA7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核心技术差异：市面竞品使用雷达厂商固件，传感器端直接输出离散判断，中间过程数据全部丢弃。家安自研 ELPD 世界模型架构，以统一隐空间表征所有信号，模型从正常行为中自监督学习，基于预测偏差检测异常。仅需学习正常状态，即可发现偏离。公开数据集验证：仅学习正常行为、从未见过跌倒样本，跌倒异常检测 AUC 0.94，预测偏差能力显著。</w:t>
      </w:r>
    </w:p>
    <w:p w14:paraId="3701F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商业模式：拟定硬件买断（299–799 元/套）获客，高级健康服务订阅（199 元/年）盈利。天使轮融资 300 万元，12 个月跑道，覆盖从 MVP 验证到 1000 户商用启动。</w:t>
      </w:r>
    </w:p>
    <w:p w14:paraId="619E4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b/>
          <w:bCs w:val="0"/>
          <w:color w:val="002FA7"/>
          <w:sz w:val="26"/>
          <w:lang w:val="en-US" w:eastAsia="zh-CN"/>
        </w:rPr>
      </w:pPr>
    </w:p>
    <w:p w14:paraId="31FCF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b/>
          <w:bCs w:val="0"/>
          <w:color w:val="002FA7"/>
          <w:sz w:val="26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 w:val="0"/>
          <w:color w:val="002FA7"/>
          <w:sz w:val="26"/>
          <w:lang w:val="en-US" w:eastAsia="zh-CN"/>
        </w:rPr>
        <w:t>二、投资亮点</w:t>
      </w:r>
    </w:p>
    <w:p w14:paraId="2EE9C9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 xml:space="preserve">1. 市场刚性，时机到位。 </w:t>
      </w:r>
      <w:r>
        <w:rPr>
          <w:rFonts w:hint="eastAsia" w:ascii="华文宋体" w:hAnsi="华文宋体" w:eastAsia="华文宋体" w:cs="华文宋体"/>
          <w:lang w:val="en-US" w:eastAsia="zh-CN"/>
        </w:rPr>
        <w:t>65 岁以上 2.2 亿人，独居/空巢约 1.2 亿，跌倒是伤害死亡首位。现有方案中，摄像头侵犯隐私、手环依从性低、紧急按钮够不到，均存在痛点。国办发〔2024〕1 号写入家庭配备智能安全监护设备，60GHz 雷达 SoC 从千元走向百元内，需求、供给、政策三端在 2024–2025 年同时到位。</w:t>
      </w:r>
    </w:p>
    <w:p w14:paraId="5F61C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>2. 技术壁垒清晰，架构代际差异。</w:t>
      </w:r>
      <w:r>
        <w:rPr>
          <w:rFonts w:hint="eastAsia" w:ascii="华文宋体" w:hAnsi="华文宋体" w:eastAsia="华文宋体" w:cs="华文宋体"/>
          <w:lang w:val="en-US" w:eastAsia="zh-CN"/>
        </w:rPr>
        <w:t xml:space="preserve"> 家安 ELPD 世界模型以统一隐空间替代离散规则管线，自监督学习无需人工标注，模型随数据积累持续进化。雷达信号处理 + 点云深度学习 + 自监督表示学习的跨学科壁垒，叠加数据飞轮，短期难以复制。</w:t>
      </w:r>
    </w:p>
    <w:p w14:paraId="18E04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 xml:space="preserve">3. 核心假设已通过实验验证。 </w:t>
      </w:r>
      <w:r>
        <w:rPr>
          <w:rFonts w:hint="eastAsia" w:ascii="华文宋体" w:hAnsi="华文宋体" w:eastAsia="华文宋体" w:cs="华文宋体"/>
          <w:lang w:val="en-US" w:eastAsia="zh-CN"/>
        </w:rPr>
        <w:t>公开数据集上四项假设全部通过：线性分类 99.84% 验证信号可编码，隐空间连续性 95.82% 验证系统可感知缓慢衰退，预测准确率 91.30% 验证正常行为可预测，异常检测 AUC 0.94 验证无需见过跌倒即可识别异常。技术路线在实验室阶段已跑通。</w:t>
      </w:r>
    </w:p>
    <w:p w14:paraId="72A39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 xml:space="preserve">4. 品类空白，定价与体验差异化。 </w:t>
      </w:r>
      <w:r>
        <w:rPr>
          <w:rFonts w:hint="eastAsia" w:ascii="华文宋体" w:hAnsi="华文宋体" w:eastAsia="华文宋体" w:cs="华文宋体"/>
          <w:lang w:val="en-US" w:eastAsia="zh-CN"/>
        </w:rPr>
        <w:t>299–799 元全屋套装、15 分钟自安装、C 端买</w:t>
      </w:r>
      <w:r>
        <w:rPr>
          <w:rFonts w:hint="eastAsia" w:ascii="华文宋体" w:hAnsi="华文宋体" w:eastAsia="华文宋体" w:cs="华文宋体"/>
          <w:lang w:val="en-US" w:eastAsia="zh-CN"/>
        </w:rPr>
        <w:t>断零售——这个品类目前是空白。竞品均走 B 端项目制或高端全屋方案，价格带 500–2000+ 元且需专业人员上门。消费级定价 + 零安装门槛 + 自研模型越用越准，三项差异化同时成立。</w:t>
      </w:r>
    </w:p>
    <w:p w14:paraId="0C0A63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b/>
          <w:bCs w:val="0"/>
          <w:color w:val="002FA7"/>
          <w:sz w:val="26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>5. 降本路径清晰，拐点明确。</w:t>
      </w:r>
      <w:r>
        <w:rPr>
          <w:rFonts w:hint="eastAsia" w:ascii="华文宋体" w:hAnsi="华文宋体" w:eastAsia="华文宋体" w:cs="华文宋体"/>
          <w:lang w:val="en-US" w:eastAsia="zh-CN"/>
        </w:rPr>
        <w:t xml:space="preserve"> 硬件演进路线：TI 模组（BOM 425）→ 自研一体板（BOM 100，量&gt;5000）→ 国产 60GHz SoC（BOM 60，量&gt;5 万）。毛利率从 30% 跃升至 87%，LTV/CAC 从 0.87 转正至 2.51。</w:t>
      </w:r>
    </w:p>
    <w:p w14:paraId="338B1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b/>
          <w:bCs w:val="0"/>
          <w:color w:val="002FA7"/>
          <w:sz w:val="26"/>
          <w:lang w:val="en-US" w:eastAsia="zh-CN"/>
        </w:rPr>
      </w:pPr>
    </w:p>
    <w:p w14:paraId="67A1E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b/>
          <w:bCs w:val="0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 w:val="0"/>
          <w:color w:val="002FA7"/>
          <w:sz w:val="26"/>
          <w:lang w:val="en-US" w:eastAsia="zh-CN"/>
        </w:rPr>
        <w:t>三、</w:t>
      </w:r>
      <w:r>
        <w:rPr>
          <w:rFonts w:hint="eastAsia" w:ascii="华文宋体" w:hAnsi="华文宋体" w:eastAsia="华文宋体" w:cs="华文宋体"/>
          <w:b/>
          <w:bCs w:val="0"/>
          <w:color w:val="002FA7"/>
          <w:sz w:val="26"/>
        </w:rPr>
        <w:t>当前已完成</w:t>
      </w:r>
      <w:r>
        <w:rPr>
          <w:rFonts w:hint="eastAsia" w:ascii="华文宋体" w:hAnsi="华文宋体" w:eastAsia="华文宋体" w:cs="华文宋体"/>
          <w:b/>
          <w:bCs w:val="0"/>
          <w:color w:val="002FA7"/>
          <w:sz w:val="26"/>
          <w:lang w:val="en-US" w:eastAsia="zh-CN"/>
        </w:rPr>
        <w:t>工作</w:t>
      </w:r>
    </w:p>
    <w:p w14:paraId="492CC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以下工作由创始人独立完成。</w:t>
      </w:r>
    </w:p>
    <w:p w14:paraId="2FE48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b/>
          <w:bCs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>1.</w:t>
      </w:r>
      <w:r>
        <w:rPr>
          <w:rFonts w:hint="eastAsia" w:ascii="华文宋体" w:hAnsi="华文宋体" w:eastAsia="华文宋体" w:cs="华文宋体"/>
          <w:b/>
          <w:bCs/>
        </w:rPr>
        <w:t>ELPD 世界模型架构设计与实现。</w:t>
      </w:r>
    </w:p>
    <w:p w14:paraId="0476B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自研 PointNet++ + TCN Encoder（约 4.7M 参数）从毫米波原始点云压缩为 256 维隐状态，TinyPredictor（GRU，1.3M 参数）学习行为动力学并预测下一帧隐状态。模型总参数量 &lt; 6M，CPU 推理 &lt; 100ms，可在消费级硬件上运行。</w:t>
      </w:r>
    </w:p>
    <w:p w14:paraId="26BFC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b/>
          <w:bCs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>2.</w:t>
      </w:r>
      <w:r>
        <w:rPr>
          <w:rFonts w:hint="eastAsia" w:ascii="华文宋体" w:hAnsi="华文宋体" w:eastAsia="华文宋体" w:cs="华文宋体"/>
          <w:b/>
          <w:bCs/>
        </w:rPr>
        <w:t>H1-H4 全实验链路验证。</w:t>
      </w:r>
    </w:p>
    <w:p w14:paraId="35C30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使用公开数据集 mmWave-3DPCHM-1.0（7 人 × 12 类动作 × 44 万帧），训练集仅含正常行为、不含任何跌倒样本。实验结果</w:t>
      </w:r>
      <w:r>
        <w:rPr>
          <w:rFonts w:hint="eastAsia" w:ascii="华文宋体" w:hAnsi="华文宋体" w:eastAsia="华文宋体" w:cs="华文宋体"/>
          <w:lang w:val="en-US" w:eastAsia="zh-CN"/>
        </w:rPr>
        <w:t>证实世界模型技术路径</w:t>
      </w:r>
      <w:r>
        <w:rPr>
          <w:rFonts w:hint="eastAsia" w:ascii="华文宋体" w:hAnsi="华文宋体" w:eastAsia="华文宋体" w:cs="华文宋体"/>
        </w:rPr>
        <w:t>：毫米波稀疏点云包含的信息量可完成 12 类动作的线性分类，准确率 99.84%。隐空间状态变化连续而平滑，余弦相似度 95.82%，意味着系统天然具备捕捉</w:t>
      </w:r>
      <w:r>
        <w:rPr>
          <w:rFonts w:hint="eastAsia" w:ascii="华文宋体" w:hAnsi="华文宋体" w:eastAsia="华文宋体" w:cs="华文宋体"/>
          <w:lang w:eastAsia="zh-CN"/>
        </w:rPr>
        <w:t>“缓慢衰退”</w:t>
      </w:r>
      <w:r>
        <w:rPr>
          <w:rFonts w:hint="eastAsia" w:ascii="华文宋体" w:hAnsi="华文宋体" w:eastAsia="华文宋体" w:cs="华文宋体"/>
        </w:rPr>
        <w:t xml:space="preserve">的能力。下一帧预测准确率 91.30%，比恒定预测基线提升 47%。最关键的是，当模型在从未见过的跌倒帧上进行推理时，Predictor </w:t>
      </w:r>
      <w:r>
        <w:rPr>
          <w:rFonts w:hint="eastAsia" w:ascii="华文宋体" w:hAnsi="华文宋体" w:eastAsia="华文宋体" w:cs="华文宋体"/>
          <w:lang w:val="en-US" w:eastAsia="zh-CN"/>
        </w:rPr>
        <w:t>能够准确识别异常</w:t>
      </w:r>
      <w:r>
        <w:rPr>
          <w:rFonts w:hint="eastAsia" w:ascii="华文宋体" w:hAnsi="华文宋体" w:eastAsia="华文宋体" w:cs="华文宋体"/>
        </w:rPr>
        <w:t xml:space="preserve">（t-test p &lt; 0.01，effect size &gt; 2×），16 帧窗口聚合后异常检测 AUC 达到 </w:t>
      </w:r>
      <w:r>
        <w:rPr>
          <w:rFonts w:hint="eastAsia" w:ascii="华文宋体" w:hAnsi="华文宋体" w:eastAsia="华文宋体" w:cs="华文宋体"/>
          <w:lang w:val="en-US" w:eastAsia="zh-CN"/>
        </w:rPr>
        <w:t>0.</w:t>
      </w:r>
      <w:r>
        <w:rPr>
          <w:rFonts w:hint="eastAsia" w:ascii="华文宋体" w:hAnsi="华文宋体" w:eastAsia="华文宋体" w:cs="华文宋体"/>
        </w:rPr>
        <w:t>94。这一结果直接验证了核心假设：系统不需要</w:t>
      </w:r>
      <w:r>
        <w:rPr>
          <w:rFonts w:hint="eastAsia" w:ascii="华文宋体" w:hAnsi="华文宋体" w:eastAsia="华文宋体" w:cs="华文宋体"/>
          <w:lang w:val="en-US" w:eastAsia="zh-CN"/>
        </w:rPr>
        <w:t>被定义危险</w:t>
      </w:r>
      <w:r>
        <w:rPr>
          <w:rFonts w:hint="eastAsia" w:ascii="华文宋体" w:hAnsi="华文宋体" w:eastAsia="华文宋体" w:cs="华文宋体"/>
        </w:rPr>
        <w:t>——只需要</w:t>
      </w:r>
      <w:r>
        <w:rPr>
          <w:rFonts w:hint="eastAsia" w:ascii="华文宋体" w:hAnsi="华文宋体" w:eastAsia="华文宋体" w:cs="华文宋体"/>
          <w:lang w:eastAsia="zh-CN"/>
        </w:rPr>
        <w:t>“知道什么是正常的”</w:t>
      </w:r>
      <w:r>
        <w:rPr>
          <w:rFonts w:hint="eastAsia" w:ascii="华文宋体" w:hAnsi="华文宋体" w:eastAsia="华文宋体" w:cs="华文宋体"/>
        </w:rPr>
        <w:t>，偏离即异常。</w:t>
      </w:r>
    </w:p>
    <w:p w14:paraId="39E887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  <w:b/>
          <w:bCs/>
          <w:lang w:eastAsia="zh-CN"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>3.</w:t>
      </w:r>
      <w:r>
        <w:rPr>
          <w:rFonts w:hint="eastAsia" w:ascii="华文宋体" w:hAnsi="华文宋体" w:eastAsia="华文宋体" w:cs="华文宋体"/>
          <w:b/>
          <w:bCs/>
        </w:rPr>
        <w:t>工程方面</w:t>
      </w:r>
      <w:r>
        <w:rPr>
          <w:rFonts w:hint="eastAsia" w:ascii="华文宋体" w:hAnsi="华文宋体" w:eastAsia="华文宋体" w:cs="华文宋体"/>
          <w:b/>
          <w:bCs/>
          <w:lang w:eastAsia="zh-CN"/>
        </w:rPr>
        <w:t>。</w:t>
      </w:r>
    </w:p>
    <w:p w14:paraId="57DE1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Django + DRF 后端已完成设备绑定、数据管线、实时通信等基础模块，TimescaleDB 时序存储与 Redis Stream 消息队列已接入。FallbackEngine 确定性规则引擎（三条独立可配置规则：跌倒检测、静止超时、生命体征异常）作为世界模型的安全网，模型不可用时自动降级。Expo（React Native）App 前端框架已搭建，登录注册、实时首页、家庭管理界面已跑通。</w:t>
      </w:r>
    </w:p>
    <w:p w14:paraId="36E35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b/>
          <w:color w:val="002FA7"/>
          <w:sz w:val="26"/>
          <w:lang w:val="en-US" w:eastAsia="zh-CN"/>
        </w:rPr>
      </w:pPr>
    </w:p>
    <w:p w14:paraId="7D4E6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color w:val="002FA7"/>
          <w:sz w:val="26"/>
          <w:lang w:val="en-US" w:eastAsia="zh-CN"/>
        </w:rPr>
        <w:t>四、</w:t>
      </w:r>
      <w:r>
        <w:rPr>
          <w:rFonts w:hint="eastAsia" w:ascii="华文宋体" w:hAnsi="华文宋体" w:eastAsia="华文宋体" w:cs="华文宋体"/>
          <w:b/>
          <w:color w:val="002FA7"/>
          <w:sz w:val="26"/>
        </w:rPr>
        <w:t>本轮资金用途</w:t>
      </w:r>
    </w:p>
    <w:p w14:paraId="43190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 xml:space="preserve">本轮融资 300 </w:t>
      </w:r>
      <w:r>
        <w:rPr>
          <w:rFonts w:hint="eastAsia" w:ascii="华文宋体" w:hAnsi="华文宋体" w:eastAsia="华文宋体" w:cs="华文宋体"/>
          <w:lang w:eastAsia="zh-CN"/>
        </w:rPr>
        <w:t>万元人民币</w:t>
      </w:r>
      <w:r>
        <w:rPr>
          <w:rFonts w:hint="eastAsia" w:ascii="华文宋体" w:hAnsi="华文宋体" w:eastAsia="华文宋体" w:cs="华文宋体"/>
        </w:rPr>
        <w:t>，跑道 12 个月，覆盖从 MVP 原型验证到商用启动的完整阶段。</w:t>
      </w:r>
    </w:p>
    <w:p w14:paraId="1D3B0F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jc w:val="center"/>
        <w:textAlignment w:val="auto"/>
        <w:rPr>
          <w:rFonts w:hint="default" w:ascii="华文宋体" w:hAnsi="华文宋体" w:eastAsia="华文宋体" w:cs="华文宋体"/>
          <w:b/>
          <w:bCs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>表1 资金用途一览表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7632"/>
      </w:tblGrid>
      <w:tr w14:paraId="35FB631D">
        <w:trPr>
          <w:jc w:val="center"/>
        </w:trPr>
        <w:tc>
          <w:tcPr>
            <w:tcW w:w="1774" w:type="dxa"/>
            <w:vAlign w:val="center"/>
          </w:tcPr>
          <w:p w14:paraId="242AD3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/>
                <w:sz w:val="20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研发与团队</w:t>
            </w:r>
          </w:p>
        </w:tc>
        <w:tc>
          <w:tcPr>
            <w:tcW w:w="7632" w:type="dxa"/>
            <w:vAlign w:val="center"/>
          </w:tcPr>
          <w:p w14:paraId="5A0630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180 万（50%）。组建 5 人团队——嵌入式工程师 1（雷达信号链与固件）、AI/ML 工程师 1（点云自监督学习与模型迭代）、iOS 工程师 1（App 开发）、商务 1。含创始人共 6 人。</w:t>
            </w:r>
          </w:p>
        </w:tc>
      </w:tr>
      <w:tr w14:paraId="1D5A0701">
        <w:trPr>
          <w:jc w:val="center"/>
        </w:trPr>
        <w:tc>
          <w:tcPr>
            <w:tcW w:w="1774" w:type="dxa"/>
            <w:vAlign w:val="center"/>
          </w:tcPr>
          <w:p w14:paraId="3C9BF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/>
                <w:sz w:val="20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设备与云服务</w:t>
            </w:r>
          </w:p>
        </w:tc>
        <w:tc>
          <w:tcPr>
            <w:tcW w:w="7632" w:type="dxa"/>
            <w:vAlign w:val="center"/>
          </w:tcPr>
          <w:p w14:paraId="4BF4B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45 万（15%）。IWR6843ISK 开发板采购、海凌科 LD6002 原型模组、TI IWR6843 量产模组首批采购、GPU 云实例（模型训练与推理）、TimescaleDB 云实例、AWS 或阿里云基础设施。</w:t>
            </w:r>
          </w:p>
        </w:tc>
      </w:tr>
      <w:tr w14:paraId="4F4D3FB4">
        <w:trPr>
          <w:jc w:val="center"/>
        </w:trPr>
        <w:tc>
          <w:tcPr>
            <w:tcW w:w="1774" w:type="dxa"/>
            <w:vAlign w:val="center"/>
          </w:tcPr>
          <w:p w14:paraId="12D423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/>
                <w:sz w:val="20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获客与运营</w:t>
            </w:r>
          </w:p>
        </w:tc>
        <w:tc>
          <w:tcPr>
            <w:tcW w:w="7632" w:type="dxa"/>
            <w:vAlign w:val="center"/>
          </w:tcPr>
          <w:p w14:paraId="74075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华文宋体" w:hAnsi="华文宋体" w:eastAsia="华文宋体" w:cs="华文宋体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45 万（15%）。</w:t>
            </w: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30万用于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>种子用户内测（5-8 户起步、扩至 15-20 户）、异地子女社群运营、适老化改造政府补贴渠道对接、产品包装与说明物料。</w:t>
            </w: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15万用于信息流投放测试。</w:t>
            </w:r>
          </w:p>
        </w:tc>
      </w:tr>
      <w:tr w14:paraId="3059C18F">
        <w:trPr>
          <w:trHeight w:val="569" w:hRule="atLeast"/>
          <w:jc w:val="center"/>
        </w:trPr>
        <w:tc>
          <w:tcPr>
            <w:tcW w:w="1774" w:type="dxa"/>
            <w:vAlign w:val="center"/>
          </w:tcPr>
          <w:p w14:paraId="404E5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  <w:b/>
                <w:sz w:val="20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行政与其他</w:t>
            </w:r>
          </w:p>
        </w:tc>
        <w:tc>
          <w:tcPr>
            <w:tcW w:w="7632" w:type="dxa"/>
            <w:vAlign w:val="center"/>
          </w:tcPr>
          <w:p w14:paraId="17464A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30 万（10%）。公司注册、财会、办公场地与基本设备。</w:t>
            </w:r>
          </w:p>
        </w:tc>
      </w:tr>
    </w:tbl>
    <w:p w14:paraId="4E822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b/>
          <w:color w:val="002FA7"/>
          <w:sz w:val="26"/>
          <w:lang w:val="en-US" w:eastAsia="zh-CN"/>
        </w:rPr>
      </w:pPr>
    </w:p>
    <w:p w14:paraId="60AB0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default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  <w:b/>
          <w:color w:val="002FA7"/>
          <w:sz w:val="26"/>
          <w:lang w:val="en-US" w:eastAsia="zh-CN"/>
        </w:rPr>
        <w:t>五、其他需求</w:t>
      </w:r>
    </w:p>
    <w:p w14:paraId="41644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default" w:ascii="华文宋体" w:hAnsi="华文宋体" w:eastAsia="华文宋体" w:cs="华文宋体"/>
          <w:lang w:val="en-US" w:eastAsia="zh-CN"/>
        </w:rPr>
      </w:pPr>
      <w:r>
        <w:rPr>
          <w:rFonts w:hint="eastAsia" w:ascii="华文宋体" w:hAnsi="华文宋体" w:eastAsia="华文宋体" w:cs="华文宋体"/>
        </w:rPr>
        <w:t xml:space="preserve">本轮融资的核心需求是组建团队。四个岗位需在 M0-M3 内到位：嵌入式工程师负责将毫米波雷达的原始点云通过 </w:t>
      </w:r>
      <w:r>
        <w:rPr>
          <w:rFonts w:hint="eastAsia" w:ascii="华文宋体" w:hAnsi="华文宋体" w:eastAsia="华文宋体" w:cs="华文宋体"/>
          <w:lang w:eastAsia="zh-CN"/>
        </w:rPr>
        <w:t>Wi-Fi</w:t>
      </w:r>
      <w:r>
        <w:rPr>
          <w:rFonts w:hint="eastAsia" w:ascii="华文宋体" w:hAnsi="华文宋体" w:eastAsia="华文宋体" w:cs="华文宋体"/>
        </w:rPr>
        <w:t xml:space="preserve"> 直传云端，替代当前依赖 TI 开发板的原型方案；AI/ML 工程师负责在真实居家数据上 fine-tune Encoder 模型</w:t>
      </w:r>
      <w:r>
        <w:rPr>
          <w:rFonts w:hint="eastAsia" w:ascii="华文宋体" w:hAnsi="华文宋体" w:eastAsia="华文宋体" w:cs="华文宋体"/>
          <w:lang w:eastAsia="zh-CN"/>
        </w:rPr>
        <w:t>，</w:t>
      </w:r>
      <w:r>
        <w:rPr>
          <w:rFonts w:hint="eastAsia" w:ascii="华文宋体" w:hAnsi="华文宋体" w:eastAsia="华文宋体" w:cs="华文宋体"/>
        </w:rPr>
        <w:t>实现多雷达 Cross-Attention 融合</w:t>
      </w:r>
      <w:r>
        <w:rPr>
          <w:rFonts w:hint="eastAsia" w:ascii="华文宋体" w:hAnsi="华文宋体" w:eastAsia="华文宋体" w:cs="华文宋体"/>
          <w:lang w:eastAsia="zh-CN"/>
        </w:rPr>
        <w:t>，以及</w:t>
      </w:r>
      <w:r>
        <w:rPr>
          <w:rFonts w:hint="eastAsia" w:ascii="华文宋体" w:hAnsi="华文宋体" w:eastAsia="华文宋体" w:cs="华文宋体"/>
        </w:rPr>
        <w:t xml:space="preserve"> Phase 2 的步态参数提取模型；iOS 工程师负责 App 安装引导流程、实时数据展示、推送通知集成与健康报告页面</w:t>
      </w:r>
      <w:r>
        <w:rPr>
          <w:rFonts w:hint="eastAsia" w:ascii="华文宋体" w:hAnsi="华文宋体" w:eastAsia="华文宋体" w:cs="华文宋体"/>
          <w:lang w:eastAsia="zh-CN"/>
        </w:rPr>
        <w:t>；</w:t>
      </w:r>
      <w:r>
        <w:rPr>
          <w:rFonts w:hint="eastAsia" w:ascii="华文宋体" w:hAnsi="华文宋体" w:eastAsia="华文宋体" w:cs="华文宋体"/>
          <w:lang w:val="en-US" w:eastAsia="zh-CN"/>
        </w:rPr>
        <w:t>商务负责市场拓展、销售渠道搭建等。</w:t>
      </w:r>
    </w:p>
    <w:p w14:paraId="5D9B2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产业资源方面，</w:t>
      </w:r>
      <w:r>
        <w:rPr>
          <w:rFonts w:hint="eastAsia" w:ascii="华文宋体" w:hAnsi="华文宋体" w:eastAsia="华文宋体" w:cs="华文宋体"/>
          <w:lang w:val="en-US" w:eastAsia="zh-CN"/>
        </w:rPr>
        <w:t>后续</w:t>
      </w:r>
      <w:r>
        <w:rPr>
          <w:rFonts w:hint="eastAsia" w:ascii="华文宋体" w:hAnsi="华文宋体" w:eastAsia="华文宋体" w:cs="华文宋体"/>
        </w:rPr>
        <w:t>需要以下三类外部支持：雷达模组供应商的导入与量产合作（从 TI IWR6843 量产模组起步，中期自研一体板，长期切国产 60GHz SoC）；适老化改造政府补贴渠道的对接（国办发〔2024〕1 号已明确政策方向，需地方执行层关系）；以及养老机构与 社区分销渠道的初步合作。</w:t>
      </w:r>
    </w:p>
    <w:p w14:paraId="150B0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本轮投资人即为第一阶段验证的参与者。12 个月后，家安将带着 1000 户装机数据、经过市场验证的全屋套产品，以及明确的降本路径，启动 A 轮融资。</w:t>
      </w:r>
    </w:p>
    <w:p w14:paraId="3B5C5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b/>
          <w:color w:val="002FA7"/>
          <w:sz w:val="26"/>
          <w:lang w:val="en-US" w:eastAsia="zh-CN"/>
        </w:rPr>
      </w:pPr>
    </w:p>
    <w:p w14:paraId="14822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color w:val="002FA7"/>
          <w:sz w:val="26"/>
          <w:lang w:val="en-US" w:eastAsia="zh-CN"/>
        </w:rPr>
        <w:t>六、</w:t>
      </w:r>
      <w:r>
        <w:rPr>
          <w:rFonts w:hint="eastAsia" w:ascii="华文宋体" w:hAnsi="华文宋体" w:eastAsia="华文宋体" w:cs="华文宋体"/>
          <w:b/>
          <w:color w:val="002FA7"/>
          <w:sz w:val="26"/>
        </w:rPr>
        <w:t>12 个月里程碑</w:t>
      </w:r>
    </w:p>
    <w:p w14:paraId="254294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以下里程碑与商业计划书中的落地路径完全一致，覆盖本轮 300 万融资对应的 M0 至 M12 阶段。</w:t>
      </w:r>
    </w:p>
    <w:p w14:paraId="3AD59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jc w:val="center"/>
        <w:textAlignment w:val="auto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 xml:space="preserve">表2 </w:t>
      </w:r>
      <w:bookmarkStart w:id="0" w:name="_GoBack"/>
      <w:bookmarkEnd w:id="0"/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>里程碑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9FA668B">
        <w:trPr>
          <w:jc w:val="center"/>
        </w:trPr>
        <w:tc>
          <w:tcPr>
            <w:tcW w:w="3135" w:type="dxa"/>
          </w:tcPr>
          <w:p w14:paraId="7768D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阶段</w:t>
            </w:r>
          </w:p>
        </w:tc>
        <w:tc>
          <w:tcPr>
            <w:tcW w:w="3135" w:type="dxa"/>
          </w:tcPr>
          <w:p w14:paraId="2387D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目标</w:t>
            </w:r>
          </w:p>
        </w:tc>
        <w:tc>
          <w:tcPr>
            <w:tcW w:w="3135" w:type="dxa"/>
          </w:tcPr>
          <w:p w14:paraId="2601B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验证指标</w:t>
            </w:r>
          </w:p>
        </w:tc>
      </w:tr>
      <w:tr w14:paraId="4462C5F0">
        <w:trPr>
          <w:jc w:val="center"/>
        </w:trPr>
        <w:tc>
          <w:tcPr>
            <w:tcW w:w="3135" w:type="dxa"/>
          </w:tcPr>
          <w:p w14:paraId="4E206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sz w:val="19"/>
              </w:rPr>
              <w:t>M0-M3 原型验证</w:t>
            </w:r>
          </w:p>
        </w:tc>
        <w:tc>
          <w:tcPr>
            <w:tcW w:w="3135" w:type="dxa"/>
          </w:tcPr>
          <w:p w14:paraId="53748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2 雷达起步（浴室+卧室）。传感器到货，数据管线跑通（雷达</w:t>
            </w: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-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>云</w:t>
            </w: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-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>App）。App v0.1 完成，实现基本实时监测与报警通知。</w:t>
            </w:r>
          </w:p>
        </w:tc>
        <w:tc>
          <w:tcPr>
            <w:tcW w:w="3135" w:type="dxa"/>
          </w:tcPr>
          <w:p w14:paraId="2AD01F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 xml:space="preserve">跌倒检测准确率 </w:t>
            </w:r>
            <w:r>
              <w:rPr>
                <w:rFonts w:hint="eastAsia" w:ascii="华文宋体" w:hAnsi="华文宋体" w:eastAsia="华文宋体" w:cs="华文宋体"/>
                <w:sz w:val="19"/>
                <w:lang w:eastAsia="zh-CN"/>
              </w:rPr>
              <w:t>≥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 xml:space="preserve"> 90%。误报 &lt; 2 次/周/户。</w:t>
            </w:r>
          </w:p>
        </w:tc>
      </w:tr>
      <w:tr w14:paraId="358E9D07">
        <w:trPr>
          <w:jc w:val="center"/>
        </w:trPr>
        <w:tc>
          <w:tcPr>
            <w:tcW w:w="3135" w:type="dxa"/>
          </w:tcPr>
          <w:p w14:paraId="56D687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sz w:val="19"/>
              </w:rPr>
              <w:t>M4-M6 内测迭代</w:t>
            </w:r>
          </w:p>
        </w:tc>
        <w:tc>
          <w:tcPr>
            <w:tcW w:w="3135" w:type="dxa"/>
          </w:tcPr>
          <w:p w14:paraId="09F044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5-8 户种子用户内测，收集真实居家标注数据。基线学习训练完成（14 天窗口）。App 周报页上线。扩展至 15-20 户。</w:t>
            </w:r>
          </w:p>
        </w:tc>
        <w:tc>
          <w:tcPr>
            <w:tcW w:w="3135" w:type="dxa"/>
          </w:tcPr>
          <w:p w14:paraId="72337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 xml:space="preserve">准确率保持 </w:t>
            </w:r>
            <w:r>
              <w:rPr>
                <w:rFonts w:hint="eastAsia" w:ascii="华文宋体" w:hAnsi="华文宋体" w:eastAsia="华文宋体" w:cs="华文宋体"/>
                <w:sz w:val="19"/>
                <w:lang w:eastAsia="zh-CN"/>
              </w:rPr>
              <w:t>≥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 xml:space="preserve"> 90%。标注数据持续积累。</w:t>
            </w:r>
          </w:p>
        </w:tc>
      </w:tr>
      <w:tr w14:paraId="28104BA5">
        <w:trPr>
          <w:jc w:val="center"/>
        </w:trPr>
        <w:tc>
          <w:tcPr>
            <w:tcW w:w="3135" w:type="dxa"/>
          </w:tcPr>
          <w:p w14:paraId="4ED65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sz w:val="19"/>
              </w:rPr>
              <w:t>M6-M12 商用启动</w:t>
            </w:r>
          </w:p>
        </w:tc>
        <w:tc>
          <w:tcPr>
            <w:tcW w:w="3135" w:type="dxa"/>
          </w:tcPr>
          <w:p w14:paraId="177209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全屋套 S（499 元）/ L（799 元）正式上线销售。1000 户装机。高级健康服务订阅（199 元/年）上线。iOS 全功能发布。A 轮材料准备。</w:t>
            </w:r>
          </w:p>
        </w:tc>
        <w:tc>
          <w:tcPr>
            <w:tcW w:w="3135" w:type="dxa"/>
          </w:tcPr>
          <w:p w14:paraId="500EF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 xml:space="preserve">1000 户装机。误报 &lt; 2 次/周/户。NPS </w:t>
            </w:r>
            <w:r>
              <w:rPr>
                <w:rFonts w:hint="eastAsia" w:ascii="华文宋体" w:hAnsi="华文宋体" w:eastAsia="华文宋体" w:cs="华文宋体"/>
                <w:sz w:val="19"/>
                <w:lang w:eastAsia="zh-CN"/>
              </w:rPr>
              <w:t>≥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 xml:space="preserve"> 30</w:t>
            </w:r>
            <w:r>
              <w:rPr>
                <w:rFonts w:hint="eastAsia" w:ascii="华文宋体" w:hAnsi="华文宋体" w:eastAsia="华文宋体" w:cs="华文宋体"/>
                <w:sz w:val="19"/>
                <w:lang w:eastAsia="zh-CN"/>
              </w:rPr>
              <w:t>（</w:t>
            </w: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基于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 xml:space="preserve"> 50 户样本）。</w:t>
            </w:r>
          </w:p>
        </w:tc>
      </w:tr>
    </w:tbl>
    <w:p w14:paraId="31EC7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b/>
          <w:color w:val="002FA7"/>
          <w:sz w:val="26"/>
          <w:lang w:val="en-US" w:eastAsia="zh-CN"/>
        </w:rPr>
      </w:pPr>
    </w:p>
    <w:p w14:paraId="4E20F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 w:ascii="华文宋体" w:hAnsi="华文宋体" w:eastAsia="华文宋体" w:cs="华文宋体"/>
          <w:b/>
          <w:color w:val="002FA7"/>
          <w:sz w:val="26"/>
        </w:rPr>
      </w:pPr>
      <w:r>
        <w:rPr>
          <w:rFonts w:hint="eastAsia" w:ascii="华文宋体" w:hAnsi="华文宋体" w:eastAsia="华文宋体" w:cs="华文宋体"/>
          <w:b/>
          <w:color w:val="002FA7"/>
          <w:sz w:val="26"/>
          <w:lang w:val="en-US" w:eastAsia="zh-CN"/>
        </w:rPr>
        <w:t>七、</w:t>
      </w:r>
      <w:r>
        <w:rPr>
          <w:rFonts w:hint="eastAsia" w:ascii="华文宋体" w:hAnsi="华文宋体" w:eastAsia="华文宋体" w:cs="华文宋体"/>
          <w:b/>
          <w:color w:val="002FA7"/>
          <w:sz w:val="26"/>
        </w:rPr>
        <w:t>财务预测</w:t>
      </w:r>
    </w:p>
    <w:p w14:paraId="73F8B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jc w:val="center"/>
        <w:textAlignment w:val="auto"/>
        <w:rPr>
          <w:rFonts w:hint="default" w:ascii="华文宋体" w:hAnsi="华文宋体" w:eastAsia="华文宋体" w:cs="华文宋体"/>
          <w:b/>
          <w:color w:val="002FA7"/>
          <w:sz w:val="26"/>
          <w:lang w:val="en-US"/>
        </w:rPr>
      </w:pPr>
      <w:r>
        <w:rPr>
          <w:rFonts w:hint="eastAsia" w:ascii="华文宋体" w:hAnsi="华文宋体" w:eastAsia="华文宋体" w:cs="华文宋体"/>
          <w:b/>
          <w:bCs/>
          <w:lang w:val="en-US" w:eastAsia="zh-CN"/>
        </w:rPr>
        <w:t>表3 财务预测摘要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90C22AD">
        <w:trPr>
          <w:trHeight w:val="397" w:hRule="atLeast"/>
          <w:jc w:val="center"/>
        </w:trPr>
        <w:tc>
          <w:tcPr>
            <w:tcW w:w="2351" w:type="dxa"/>
            <w:vAlign w:val="center"/>
          </w:tcPr>
          <w:p w14:paraId="7CB965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</w:p>
        </w:tc>
        <w:tc>
          <w:tcPr>
            <w:tcW w:w="2351" w:type="dxa"/>
            <w:vAlign w:val="center"/>
          </w:tcPr>
          <w:p w14:paraId="4C543E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Y1</w:t>
            </w:r>
          </w:p>
        </w:tc>
        <w:tc>
          <w:tcPr>
            <w:tcW w:w="2351" w:type="dxa"/>
            <w:vAlign w:val="center"/>
          </w:tcPr>
          <w:p w14:paraId="07656E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Y2</w:t>
            </w:r>
          </w:p>
        </w:tc>
        <w:tc>
          <w:tcPr>
            <w:tcW w:w="2351" w:type="dxa"/>
            <w:vAlign w:val="center"/>
          </w:tcPr>
          <w:p w14:paraId="418D4C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b/>
                <w:sz w:val="20"/>
              </w:rPr>
              <w:t>Y3</w:t>
            </w:r>
          </w:p>
        </w:tc>
      </w:tr>
      <w:tr w14:paraId="46A80827">
        <w:trPr>
          <w:trHeight w:val="397" w:hRule="atLeast"/>
          <w:jc w:val="center"/>
        </w:trPr>
        <w:tc>
          <w:tcPr>
            <w:tcW w:w="2351" w:type="dxa"/>
            <w:vAlign w:val="center"/>
          </w:tcPr>
          <w:p w14:paraId="11136B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年末累计装机</w:t>
            </w:r>
          </w:p>
        </w:tc>
        <w:tc>
          <w:tcPr>
            <w:tcW w:w="2351" w:type="dxa"/>
            <w:vAlign w:val="center"/>
          </w:tcPr>
          <w:p w14:paraId="7C20A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1,000 户</w:t>
            </w:r>
          </w:p>
        </w:tc>
        <w:tc>
          <w:tcPr>
            <w:tcW w:w="2351" w:type="dxa"/>
            <w:vAlign w:val="center"/>
          </w:tcPr>
          <w:p w14:paraId="09F75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5,000 户</w:t>
            </w:r>
          </w:p>
        </w:tc>
        <w:tc>
          <w:tcPr>
            <w:tcW w:w="2351" w:type="dxa"/>
            <w:vAlign w:val="center"/>
          </w:tcPr>
          <w:p w14:paraId="49D71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15,000 户</w:t>
            </w:r>
          </w:p>
        </w:tc>
      </w:tr>
      <w:tr w14:paraId="6D2A7C13">
        <w:trPr>
          <w:trHeight w:val="397" w:hRule="atLeast"/>
          <w:jc w:val="center"/>
        </w:trPr>
        <w:tc>
          <w:tcPr>
            <w:tcW w:w="2351" w:type="dxa"/>
            <w:vAlign w:val="center"/>
          </w:tcPr>
          <w:p w14:paraId="7B4AEF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总收入</w:t>
            </w:r>
          </w:p>
        </w:tc>
        <w:tc>
          <w:tcPr>
            <w:tcW w:w="2351" w:type="dxa"/>
            <w:vAlign w:val="center"/>
          </w:tcPr>
          <w:p w14:paraId="0D3068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6</w:t>
            </w: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3.9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 xml:space="preserve"> 万</w:t>
            </w:r>
          </w:p>
        </w:tc>
        <w:tc>
          <w:tcPr>
            <w:tcW w:w="2351" w:type="dxa"/>
            <w:vAlign w:val="center"/>
          </w:tcPr>
          <w:p w14:paraId="1C2E6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25</w:t>
            </w: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8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>.3 万</w:t>
            </w:r>
          </w:p>
        </w:tc>
        <w:tc>
          <w:tcPr>
            <w:tcW w:w="2351" w:type="dxa"/>
            <w:vAlign w:val="center"/>
          </w:tcPr>
          <w:p w14:paraId="3D3826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6</w:t>
            </w: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51.9</w:t>
            </w:r>
            <w:r>
              <w:rPr>
                <w:rFonts w:hint="eastAsia" w:ascii="华文宋体" w:hAnsi="华文宋体" w:eastAsia="华文宋体" w:cs="华文宋体"/>
                <w:sz w:val="19"/>
              </w:rPr>
              <w:t xml:space="preserve"> 万</w:t>
            </w:r>
          </w:p>
        </w:tc>
      </w:tr>
      <w:tr w14:paraId="64820996">
        <w:trPr>
          <w:trHeight w:val="397" w:hRule="atLeast"/>
          <w:jc w:val="center"/>
        </w:trPr>
        <w:tc>
          <w:tcPr>
            <w:tcW w:w="2351" w:type="dxa"/>
            <w:vAlign w:val="center"/>
          </w:tcPr>
          <w:p w14:paraId="29558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eastAsia" w:ascii="华文宋体" w:hAnsi="华文宋体" w:eastAsia="华文宋体" w:cs="华文宋体"/>
              </w:rPr>
            </w:pPr>
            <w:r>
              <w:rPr>
                <w:rFonts w:hint="eastAsia" w:ascii="华文宋体" w:hAnsi="华文宋体" w:eastAsia="华文宋体" w:cs="华文宋体"/>
                <w:sz w:val="19"/>
              </w:rPr>
              <w:t>净利润</w:t>
            </w:r>
          </w:p>
        </w:tc>
        <w:tc>
          <w:tcPr>
            <w:tcW w:w="2351" w:type="dxa"/>
            <w:vAlign w:val="center"/>
          </w:tcPr>
          <w:p w14:paraId="4A853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default" w:ascii="华文宋体" w:hAnsi="华文宋体" w:eastAsia="华文宋体" w:cs="华文宋体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-198万</w:t>
            </w:r>
          </w:p>
        </w:tc>
        <w:tc>
          <w:tcPr>
            <w:tcW w:w="2351" w:type="dxa"/>
            <w:vAlign w:val="center"/>
          </w:tcPr>
          <w:p w14:paraId="16A04B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default" w:ascii="华文宋体" w:hAnsi="华文宋体" w:eastAsia="华文宋体" w:cs="华文宋体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-178万</w:t>
            </w:r>
          </w:p>
        </w:tc>
        <w:tc>
          <w:tcPr>
            <w:tcW w:w="2351" w:type="dxa"/>
            <w:vAlign w:val="center"/>
          </w:tcPr>
          <w:p w14:paraId="7BCB1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exact"/>
              <w:jc w:val="left"/>
              <w:textAlignment w:val="auto"/>
              <w:rPr>
                <w:rFonts w:hint="default" w:ascii="华文宋体" w:hAnsi="华文宋体" w:eastAsia="华文宋体" w:cs="华文宋体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sz w:val="19"/>
                <w:lang w:val="en-US" w:eastAsia="zh-CN"/>
              </w:rPr>
              <w:t>-36万</w:t>
            </w:r>
          </w:p>
        </w:tc>
      </w:tr>
    </w:tbl>
    <w:p w14:paraId="3DDF48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ind w:firstLine="400" w:firstLineChars="200"/>
        <w:textAlignment w:val="auto"/>
        <w:rPr>
          <w:rFonts w:hint="eastAsia" w:ascii="华文宋体" w:hAnsi="华文宋体" w:eastAsia="华文宋体" w:cs="华文宋体"/>
        </w:rPr>
      </w:pP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F3BA6"/>
    <w:rsid w:val="27281CD6"/>
    <w:rsid w:val="2EFFD1A7"/>
    <w:rsid w:val="4BA71FCB"/>
    <w:rsid w:val="4FEE2A97"/>
    <w:rsid w:val="5DD3B3F0"/>
    <w:rsid w:val="5FBF963C"/>
    <w:rsid w:val="5FDC8F36"/>
    <w:rsid w:val="66F4C336"/>
    <w:rsid w:val="741F6C0A"/>
    <w:rsid w:val="75E75CAD"/>
    <w:rsid w:val="76D901D3"/>
    <w:rsid w:val="76ECF35C"/>
    <w:rsid w:val="77AD4BD4"/>
    <w:rsid w:val="77D7FF80"/>
    <w:rsid w:val="77FE3D5F"/>
    <w:rsid w:val="7B3DB703"/>
    <w:rsid w:val="7BE69D50"/>
    <w:rsid w:val="7DFF8E44"/>
    <w:rsid w:val="7FFBCEFC"/>
    <w:rsid w:val="7FFFF621"/>
    <w:rsid w:val="B7D7DB59"/>
    <w:rsid w:val="D3BFEC0B"/>
    <w:rsid w:val="D3EECE2B"/>
    <w:rsid w:val="EB5F3220"/>
    <w:rsid w:val="EFFA1682"/>
    <w:rsid w:val="F3FE45C6"/>
    <w:rsid w:val="F7AF6CA0"/>
    <w:rsid w:val="FBEABA8E"/>
    <w:rsid w:val="FEEF4402"/>
    <w:rsid w:val="FFAFE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PingFang SC" w:hAnsi="PingFang SC" w:eastAsia="苹方-简" w:cs="苹方-简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苹方-简" w:asciiTheme="majorHAnsi" w:hAnsiTheme="majorHAnsi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苹方-简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苹方-简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苹方-简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eastAsia="苹方-简" w:asciiTheme="majorHAnsi" w:hAnsiTheme="majorHAnsi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eastAsia="苹方-简" w:asciiTheme="majorHAnsi" w:hAnsiTheme="majorHAnsi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eastAsia="苹方-简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eastAsia="苹方-简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eastAsia="苹方-简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苹方-简" w:hAnsi="苹方-简" w:eastAsia="苹方-简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eastAsia="苹方-简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eastAsia="苹方-简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eastAsia="苹方-简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苹方-简" w:hAnsi="苹方-简" w:eastAsia="苹方-简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苹方-简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eastAsia="苹方-简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苹方-简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eastAsia="苹方-简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eastAsia="苹方-简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苹方-简" w:hAnsi="苹方-简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eastAsia="苹方-简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苹方-简" w:asciiTheme="majorHAnsi" w:hAnsiTheme="majorHAnsi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苹方-简" w:asciiTheme="majorHAnsi" w:hAnsiTheme="majorHAnsi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eastAsia="苹方-简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苹方-简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eastAsia="苹方-简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高宇驰</cp:lastModifiedBy>
  <dcterms:modified xsi:type="dcterms:W3CDTF">2026-07-24T00:02:09Z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420E9DCEF532299B0DDA606A26C051D6_42</vt:lpwstr>
  </property>
</Properties>
</file>