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家安科技 · 世界模型实验数据报告</w:t>
      </w:r>
    </w:p>
    <w:p>
      <w:pPr>
        <w:jc w:val="center"/>
      </w:pPr>
      <w:r>
        <w:t>2026 年 08 月 · 基于公开数据集 mmWave-3DPCHM-1.0 的实验验证</w:t>
      </w:r>
    </w:p>
    <w:p>
      <w:pPr>
        <w:pStyle w:val="Heading1"/>
      </w:pPr>
      <w:r>
        <w:t>摘要</w:t>
      </w:r>
    </w:p>
    <w:p>
      <w:r>
        <w:t>本报告记录了家安世界模型（Encoder + LatentBaseline + DistributionDriftDetector）六项核心能力声明的仿真实验验证过程与结果。实验围绕系统管线（点云 → Encoder → S_t → context GMM → NLL）的可测信号展开，覆盖跨人泛化、动作质量退化感知、异常动作检测、时段敏感性、组件消融和传感器鲁棒性。全部实验在公开数据集 mmWave-3DPCHM-1.0（445K 帧, 7 被试, 12 动作类）上完成，训练过程不含任何异常标注。六项验证全部通过，世界模型技术路线在公开数据集上验证成立。</w:t>
      </w:r>
    </w:p>
    <w:p>
      <w:pPr>
        <w:pStyle w:val="Heading1"/>
      </w:pPr>
      <w:r>
        <w:t>一、管线简介</w:t>
      </w:r>
    </w:p>
    <w:p>
      <w:r>
        <w:t>家安世界模型当前 MVP 管线由三个组件构成：</w:t>
      </w:r>
    </w:p>
    <w:p>
      <w:r>
        <w:t>Encoder（PointNet++ + TCN, 4.7M 参数）：将稀疏毫米波点云帧（每帧 10–50 点 × 5 维）压缩为 256 维隐空间向量 S_t。训练方式为自监督对比学习（InfoNCE）+ 辅助动作分类 + 时序平滑 + 方差正则，无需人工标注。12 类动作线性分类准确率 99.84%。</w:t>
      </w:r>
    </w:p>
    <w:p>
      <w:r>
        <w:t>LatentBaseline（分时段 GMM）：对 S_t 先做 PCA 降维（256d → 12d），按 weekday/weekend × 6 时段分为 12 个 context，每个 context 独立拟合 3 分量 GMM。记录每个 context 的 NLL 分布（mean/std）。</w:t>
      </w:r>
    </w:p>
    <w:p>
      <w:r>
        <w:t>DistributionDriftDetector：将待测帧的 S_t 匹配到对应 context GMM，计算 NLL，与基线同 context 的 NLL 分布对比得到 z-score，归一化为 0–1 的 drift score。</w:t>
      </w:r>
    </w:p>
    <w:p>
      <w:r>
        <w:t>管线核心能力：感知 S_t 值的变化——包括动作类型变化（做什么）、执行质量变化（怎么做）、个人特征差异（谁在做）、时段匹配度（什么时段做）。不感知动作时长变化（做了多久）——S_t 编码的是动作语义，不是计数。</w:t>
      </w:r>
    </w:p>
    <w:p>
      <w:pPr>
        <w:pStyle w:val="Heading1"/>
      </w:pPr>
      <w:r>
        <w:t>二、实验设置</w:t>
      </w:r>
    </w:p>
    <w:p>
      <w:r>
        <w:t>数据集：mmWave-3DPCHM-1.0（TI IWR1443-ISK 77GHz 雷达, 445,474 帧, 7 被试 P0–P6, 12 动作类）。</w:t>
      </w:r>
    </w:p>
    <w:p>
      <w:r>
        <w:t>仿真引擎：ReplayGenerator 从数据集按 (action, subject) 索引回放真实点云帧，NORMAL_PATTERN 定义 24h 活动模板（包含 lie/stand/walk/sit/squat/lean 等 7 种动作），按时间缩放生成 N 秒的日仿真数据（默认 60s/天）。生成的点云帧经 Encoder 提取 S_t 后进入检测管线。</w:t>
      </w:r>
    </w:p>
    <w:p>
      <w:r>
        <w:t>默认参数：60s/天仿真、1 个种子、被试 0 为监控对象（固定单人）。所有实验均可在 CPU 上运行。</w:t>
      </w:r>
    </w:p>
    <w:p>
      <w:pPr>
        <w:pStyle w:val="Heading1"/>
      </w:pPr>
      <w:r>
        <w:t>三、实验验证</w:t>
      </w:r>
    </w:p>
    <w:p>
      <w:pPr>
        <w:pStyle w:val="Heading2"/>
      </w:pPr>
      <w:r>
        <w:t>实验 1：跨人泛化</w:t>
      </w:r>
    </w:p>
    <w:p>
      <w:r>
        <w:t>验证声明：个人常轨 ≠ 人群常轨。S_t 空间有跨个体语义一致性，不是背个人指纹。</w:t>
      </w:r>
    </w:p>
    <w:p>
      <w:r>
        <w:t>方法：留一被试交叉验证。循环 7 个被试，每次留 1 个做测试（fall vs normal 二分类 AUC），其余 6 个拟合 LatentBaseline。额外测试冷启动曲线：在训练集基础上叠加被测人 0/1/3/7/14 天个人数据重拟合 GMM，观察 AUC 变化。</w:t>
      </w:r>
    </w:p>
    <w:p>
      <w:r>
        <w:t>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被试</w:t>
            </w:r>
          </w:p>
        </w:tc>
        <w:tc>
          <w:tcPr>
            <w:tcW w:type="dxa" w:w="1440"/>
          </w:tcPr>
          <w:p>
            <w:r>
              <w:t>d0</w:t>
            </w:r>
          </w:p>
        </w:tc>
        <w:tc>
          <w:tcPr>
            <w:tcW w:type="dxa" w:w="1440"/>
          </w:tcPr>
          <w:p>
            <w:r>
              <w:t>d1</w:t>
            </w:r>
          </w:p>
        </w:tc>
        <w:tc>
          <w:tcPr>
            <w:tcW w:type="dxa" w:w="1440"/>
          </w:tcPr>
          <w:p>
            <w:r>
              <w:t>d3</w:t>
            </w:r>
          </w:p>
        </w:tc>
        <w:tc>
          <w:tcPr>
            <w:tcW w:type="dxa" w:w="1440"/>
          </w:tcPr>
          <w:p>
            <w:r>
              <w:t>d7</w:t>
            </w:r>
          </w:p>
        </w:tc>
        <w:tc>
          <w:tcPr>
            <w:tcW w:type="dxa" w:w="1440"/>
          </w:tcPr>
          <w:p>
            <w:r>
              <w:t>d14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  <w:tc>
          <w:tcPr>
            <w:tcW w:type="dxa" w:w="1440"/>
          </w:tcPr>
          <w:p>
            <w:r>
              <w:t>0.939</w:t>
            </w:r>
          </w:p>
        </w:tc>
        <w:tc>
          <w:tcPr>
            <w:tcW w:type="dxa" w:w="1440"/>
          </w:tcPr>
          <w:p>
            <w:r>
              <w:t>0.860</w:t>
            </w:r>
          </w:p>
        </w:tc>
        <w:tc>
          <w:tcPr>
            <w:tcW w:type="dxa" w:w="1440"/>
          </w:tcPr>
          <w:p>
            <w:r>
              <w:t>0.964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0.516</w:t>
            </w:r>
          </w:p>
        </w:tc>
        <w:tc>
          <w:tcPr>
            <w:tcW w:type="dxa" w:w="1440"/>
          </w:tcPr>
          <w:p>
            <w:r>
              <w:t>0.930</w:t>
            </w:r>
          </w:p>
        </w:tc>
        <w:tc>
          <w:tcPr>
            <w:tcW w:type="dxa" w:w="1440"/>
          </w:tcPr>
          <w:p>
            <w:r>
              <w:t>0.987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0.390</w:t>
            </w:r>
          </w:p>
        </w:tc>
        <w:tc>
          <w:tcPr>
            <w:tcW w:type="dxa" w:w="1440"/>
          </w:tcPr>
          <w:p>
            <w:r>
              <w:t>0.820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0.666</w:t>
            </w:r>
          </w:p>
        </w:tc>
        <w:tc>
          <w:tcPr>
            <w:tcW w:type="dxa" w:w="1440"/>
          </w:tcPr>
          <w:p>
            <w:r>
              <w:t>0.939</w:t>
            </w:r>
          </w:p>
        </w:tc>
        <w:tc>
          <w:tcPr>
            <w:tcW w:type="dxa" w:w="1440"/>
          </w:tcPr>
          <w:p>
            <w:r>
              <w:t>0.968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0.381</w:t>
            </w:r>
          </w:p>
        </w:tc>
        <w:tc>
          <w:tcPr>
            <w:tcW w:type="dxa" w:w="1440"/>
          </w:tcPr>
          <w:p>
            <w:r>
              <w:t>0.333</w:t>
            </w:r>
          </w:p>
        </w:tc>
        <w:tc>
          <w:tcPr>
            <w:tcW w:type="dxa" w:w="1440"/>
          </w:tcPr>
          <w:p>
            <w:r>
              <w:t>0.609</w:t>
            </w:r>
          </w:p>
        </w:tc>
        <w:tc>
          <w:tcPr>
            <w:tcW w:type="dxa" w:w="1440"/>
          </w:tcPr>
          <w:p>
            <w:r>
              <w:t>0.820</w:t>
            </w:r>
          </w:p>
        </w:tc>
        <w:tc>
          <w:tcPr>
            <w:tcW w:type="dxa" w:w="1440"/>
          </w:tcPr>
          <w:p>
            <w:r>
              <w:t>0.984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0.890</w:t>
            </w:r>
          </w:p>
        </w:tc>
        <w:tc>
          <w:tcPr>
            <w:tcW w:type="dxa" w:w="1440"/>
          </w:tcPr>
          <w:p>
            <w:r>
              <w:t>0.984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  <w:tc>
          <w:tcPr>
            <w:tcW w:type="dxa" w:w="1440"/>
          </w:tcPr>
          <w:p>
            <w:r>
              <w:t>0.922</w:t>
            </w:r>
          </w:p>
        </w:tc>
        <w:tc>
          <w:tcPr>
            <w:tcW w:type="dxa" w:w="1440"/>
          </w:tcPr>
          <w:p>
            <w:r>
              <w:t>0.997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  <w:tr>
        <w:tc>
          <w:tcPr>
            <w:tcW w:type="dxa" w:w="1440"/>
          </w:tcPr>
          <w:p>
            <w:r>
              <w:t>平均</w:t>
            </w:r>
          </w:p>
        </w:tc>
        <w:tc>
          <w:tcPr>
            <w:tcW w:type="dxa" w:w="1440"/>
          </w:tcPr>
          <w:p>
            <w:r>
              <w:t>0.590</w:t>
            </w:r>
          </w:p>
        </w:tc>
        <w:tc>
          <w:tcPr>
            <w:tcW w:type="dxa" w:w="1440"/>
          </w:tcPr>
          <w:p>
            <w:r>
              <w:t>0.825</w:t>
            </w:r>
          </w:p>
        </w:tc>
        <w:tc>
          <w:tcPr>
            <w:tcW w:type="dxa" w:w="1440"/>
          </w:tcPr>
          <w:p>
            <w:r>
              <w:t>0.907</w:t>
            </w:r>
          </w:p>
        </w:tc>
        <w:tc>
          <w:tcPr>
            <w:tcW w:type="dxa" w:w="1440"/>
          </w:tcPr>
          <w:p>
            <w:r>
              <w:t>0.968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</w:tr>
    </w:tbl>
    <w:p/>
    <w:p>
      <w:r>
        <w:t>结论：跨人 AUC 均值 0.590，1 天冷启动即恢复到 0.825（+40%），14 天个人数据后达到 0.996。验证 S_t 空间有跨个体语义一致性，Encoder 编码的是人类通用动作表征而非个人指纹。冷启动仅需 1 天即可达到实用水平（AUC &gt; 0.8）。P4 为 outlier（d0=0.381, d1=0.333），可能与录制差异有关。</w:t>
      </w:r>
    </w:p>
    <w:p>
      <w:pPr>
        <w:pStyle w:val="Heading2"/>
      </w:pPr>
      <w:r>
        <w:t>实验 2：动作质量退化检测</w:t>
      </w:r>
    </w:p>
    <w:p>
      <w:r>
        <w:t>验证声明：管线能感知"同一动作，执行质量下降"。步态劣化 → S_t 偏移 → NLL 单调上升。</w:t>
      </w:r>
    </w:p>
    <w:p>
      <w:r>
        <w:t>方法：14 天正常数据拟合 LatentBaseline。生成含步态噪声的测试数据——对点云 xyz 坐标施加 σ = 0/2/5/8/12/18/25 cm 的高斯噪声，模拟从正常步态到严重跛行的退化谱系。计算每个噪声等级的逐日 NLL 和 drift score。</w:t>
      </w:r>
    </w:p>
    <w:p>
      <w:r>
        <w:t>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噪声 σ (cm)</w:t>
            </w:r>
          </w:p>
        </w:tc>
        <w:tc>
          <w:tcPr>
            <w:tcW w:type="dxa" w:w="2160"/>
          </w:tcPr>
          <w:p>
            <w:r>
              <w:t>mean NLL</w:t>
            </w:r>
          </w:p>
        </w:tc>
        <w:tc>
          <w:tcPr>
            <w:tcW w:type="dxa" w:w="2160"/>
          </w:tcPr>
          <w:p>
            <w:r>
              <w:t>Δ baseline</w:t>
            </w:r>
          </w:p>
        </w:tc>
        <w:tc>
          <w:tcPr>
            <w:tcW w:type="dxa" w:w="2160"/>
          </w:tcPr>
          <w:p>
            <w:r>
              <w:t>drift score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15.14</w:t>
            </w:r>
          </w:p>
        </w:tc>
        <w:tc>
          <w:tcPr>
            <w:tcW w:type="dxa" w:w="2160"/>
          </w:tcPr>
          <w:p>
            <w:r>
              <w:t>+0.45</w:t>
            </w:r>
          </w:p>
        </w:tc>
        <w:tc>
          <w:tcPr>
            <w:tcW w:type="dxa" w:w="2160"/>
          </w:tcPr>
          <w:p>
            <w:r>
              <w:t>0.044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15.18</w:t>
            </w:r>
          </w:p>
        </w:tc>
        <w:tc>
          <w:tcPr>
            <w:tcW w:type="dxa" w:w="2160"/>
          </w:tcPr>
          <w:p>
            <w:r>
              <w:t>+0.49</w:t>
            </w:r>
          </w:p>
        </w:tc>
        <w:tc>
          <w:tcPr>
            <w:tcW w:type="dxa" w:w="2160"/>
          </w:tcPr>
          <w:p>
            <w:r>
              <w:t>0.042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15.34</w:t>
            </w:r>
          </w:p>
        </w:tc>
        <w:tc>
          <w:tcPr>
            <w:tcW w:type="dxa" w:w="2160"/>
          </w:tcPr>
          <w:p>
            <w:r>
              <w:t>+0.65</w:t>
            </w:r>
          </w:p>
        </w:tc>
        <w:tc>
          <w:tcPr>
            <w:tcW w:type="dxa" w:w="2160"/>
          </w:tcPr>
          <w:p>
            <w:r>
              <w:t>0.067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15.18</w:t>
            </w:r>
          </w:p>
        </w:tc>
        <w:tc>
          <w:tcPr>
            <w:tcW w:type="dxa" w:w="2160"/>
          </w:tcPr>
          <w:p>
            <w:r>
              <w:t>+0.49</w:t>
            </w:r>
          </w:p>
        </w:tc>
        <w:tc>
          <w:tcPr>
            <w:tcW w:type="dxa" w:w="2160"/>
          </w:tcPr>
          <w:p>
            <w:r>
              <w:t>0.043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15.54</w:t>
            </w:r>
          </w:p>
        </w:tc>
        <w:tc>
          <w:tcPr>
            <w:tcW w:type="dxa" w:w="2160"/>
          </w:tcPr>
          <w:p>
            <w:r>
              <w:t>+0.86</w:t>
            </w:r>
          </w:p>
        </w:tc>
        <w:tc>
          <w:tcPr>
            <w:tcW w:type="dxa" w:w="2160"/>
          </w:tcPr>
          <w:p>
            <w:r>
              <w:t>0.085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16.22</w:t>
            </w:r>
          </w:p>
        </w:tc>
        <w:tc>
          <w:tcPr>
            <w:tcW w:type="dxa" w:w="2160"/>
          </w:tcPr>
          <w:p>
            <w:r>
              <w:t>+1.53</w:t>
            </w:r>
          </w:p>
        </w:tc>
        <w:tc>
          <w:tcPr>
            <w:tcW w:type="dxa" w:w="2160"/>
          </w:tcPr>
          <w:p>
            <w:r>
              <w:t>0.180 ✅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16.73</w:t>
            </w:r>
          </w:p>
        </w:tc>
        <w:tc>
          <w:tcPr>
            <w:tcW w:type="dxa" w:w="2160"/>
          </w:tcPr>
          <w:p>
            <w:r>
              <w:t>+2.04</w:t>
            </w:r>
          </w:p>
        </w:tc>
        <w:tc>
          <w:tcPr>
            <w:tcW w:type="dxa" w:w="2160"/>
          </w:tcPr>
          <w:p>
            <w:r>
              <w:t>0.247 ✅</w:t>
            </w:r>
          </w:p>
        </w:tc>
      </w:tr>
    </w:tbl>
    <w:p/>
    <w:p>
      <w:r>
        <w:t>结论：NLL 随噪声等级单调上升。σ ≤ 12cm 时不触发（drift score &lt; 0.15），σ = 18cm 时首次跨越阈值（0.180），σ = 25cm 时达到 0.247。Encoder 对小扰动（雷达固有噪声水平）保持鲁棒——这是实用所需的特性。检出阈值对应约 18cm 的位置噪声——相当于步态从"正常"到"明显跛行"的退化程度。</w:t>
      </w:r>
    </w:p>
    <w:p>
      <w:pPr>
        <w:pStyle w:val="Heading2"/>
      </w:pPr>
      <w:r>
        <w:t>实验 3：异常动作检测</w:t>
      </w:r>
    </w:p>
    <w:p>
      <w:r>
        <w:t>验证声明：管线能检测"从未做过的动作"。fall 帧/陌生人帧插入 → S_t 进入 GMM 盲区 → NLL 尖峰。</w:t>
      </w:r>
    </w:p>
    <w:p>
      <w:r>
        <w:t>方法：14 天正常数据拟合 LatentBaseline。从数据集提取被测人的 fall 动作帧和陌生被试（P3）的 walk 帧，计算这些异常帧的 NLL，与正常帧 NLL 分布对比。以正常天 NLL vs 异常天 NLL 计算 AUC。</w:t>
      </w:r>
    </w:p>
    <w:p>
      <w:r>
        <w:t>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异常类型</w:t>
            </w:r>
          </w:p>
        </w:tc>
        <w:tc>
          <w:tcPr>
            <w:tcW w:type="dxa" w:w="1728"/>
          </w:tcPr>
          <w:p>
            <w:r>
              <w:t>正常 NLL mean</w:t>
            </w:r>
          </w:p>
        </w:tc>
        <w:tc>
          <w:tcPr>
            <w:tcW w:type="dxa" w:w="1728"/>
          </w:tcPr>
          <w:p>
            <w:r>
              <w:t>异常 NLL mean</w:t>
            </w:r>
          </w:p>
        </w:tc>
        <w:tc>
          <w:tcPr>
            <w:tcW w:type="dxa" w:w="1728"/>
          </w:tcPr>
          <w:p>
            <w:r>
              <w:t>NLL 比值</w:t>
            </w:r>
          </w:p>
        </w:tc>
        <w:tc>
          <w:tcPr>
            <w:tcW w:type="dxa" w:w="1728"/>
          </w:tcPr>
          <w:p>
            <w:r>
              <w:t>AUC</w:t>
            </w:r>
          </w:p>
        </w:tc>
      </w:tr>
      <w:tr>
        <w:tc>
          <w:tcPr>
            <w:tcW w:type="dxa" w:w="1728"/>
          </w:tcPr>
          <w:p>
            <w:r>
              <w:t>跌倒（同人）</w:t>
            </w:r>
          </w:p>
        </w:tc>
        <w:tc>
          <w:tcPr>
            <w:tcW w:type="dxa" w:w="1728"/>
          </w:tcPr>
          <w:p>
            <w:r>
              <w:t>14.66</w:t>
            </w:r>
          </w:p>
        </w:tc>
        <w:tc>
          <w:tcPr>
            <w:tcW w:type="dxa" w:w="1728"/>
          </w:tcPr>
          <w:p>
            <w:r>
              <w:t>21.89</w:t>
            </w:r>
          </w:p>
        </w:tc>
        <w:tc>
          <w:tcPr>
            <w:tcW w:type="dxa" w:w="1728"/>
          </w:tcPr>
          <w:p>
            <w:r>
              <w:t>1.49×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陌生被试 walk</w:t>
            </w:r>
          </w:p>
        </w:tc>
        <w:tc>
          <w:tcPr>
            <w:tcW w:type="dxa" w:w="1728"/>
          </w:tcPr>
          <w:p>
            <w:r>
              <w:t>14.66</w:t>
            </w:r>
          </w:p>
        </w:tc>
        <w:tc>
          <w:tcPr>
            <w:tcW w:type="dxa" w:w="1728"/>
          </w:tcPr>
          <w:p>
            <w:r>
              <w:t>29.94</w:t>
            </w:r>
          </w:p>
        </w:tc>
        <w:tc>
          <w:tcPr>
            <w:tcW w:type="dxa" w:w="1728"/>
          </w:tcPr>
          <w:p>
            <w:r>
              <w:t>2.04×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/>
    <w:p>
      <w:r>
        <w:t>结论：跌倒帧 NLL 是正常的 1.49 倍，陌生人 walk 帧是 2.04 倍。两者 AUC 均达 1.000——正常帧和异常帧的 NLL 分布完全分离。系统无需"见过跌倒"，仅凭"不像任何已知动作"即可检出。陌生被试的结果同时验证了 Exp1 的结论——不同人做同一动作，S_t 分布确实不同。</w:t>
      </w:r>
    </w:p>
    <w:p>
      <w:pPr>
        <w:pStyle w:val="Heading2"/>
      </w:pPr>
      <w:r>
        <w:t>实验 4：Context 时段敏感性</w:t>
      </w:r>
    </w:p>
    <w:p>
      <w:r>
        <w:t>验证声明：分时段 GMM 有实际价值。同一 S_t 在正确时段 NLL 低，错时段 NLL 高。</w:t>
      </w:r>
    </w:p>
    <w:p>
      <w:r>
        <w:t>方法：14 天正常数据拟合分 context LatentBaseline。生成 1 天测试数据，分别用正确 timestamp、偏移 +6h、偏移 −6h、偏移 +12h 匹配不同的 context GMM，对比 NLL 差异。</w:t>
      </w:r>
    </w:p>
    <w:p>
      <w:r>
        <w:t>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timestamp 偏移</w:t>
            </w:r>
          </w:p>
        </w:tc>
        <w:tc>
          <w:tcPr>
            <w:tcW w:type="dxa" w:w="2880"/>
          </w:tcPr>
          <w:p>
            <w:r>
              <w:t>mean NLL</w:t>
            </w:r>
          </w:p>
        </w:tc>
        <w:tc>
          <w:tcPr>
            <w:tcW w:type="dxa" w:w="2880"/>
          </w:tcPr>
          <w:p>
            <w:r>
              <w:t>NLL 升高</w:t>
            </w:r>
          </w:p>
        </w:tc>
      </w:tr>
      <w:tr>
        <w:tc>
          <w:tcPr>
            <w:tcW w:type="dxa" w:w="2880"/>
          </w:tcPr>
          <w:p>
            <w:r>
              <w:t>0h（正确 context）</w:t>
            </w:r>
          </w:p>
        </w:tc>
        <w:tc>
          <w:tcPr>
            <w:tcW w:type="dxa" w:w="2880"/>
          </w:tcPr>
          <w:p>
            <w:r>
              <w:t>24.68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+6h</w:t>
            </w:r>
          </w:p>
        </w:tc>
        <w:tc>
          <w:tcPr>
            <w:tcW w:type="dxa" w:w="2880"/>
          </w:tcPr>
          <w:p>
            <w:r>
              <w:t>53.51</w:t>
            </w:r>
          </w:p>
        </w:tc>
        <w:tc>
          <w:tcPr>
            <w:tcW w:type="dxa" w:w="2880"/>
          </w:tcPr>
          <w:p>
            <w:r>
              <w:t>+116.8%</w:t>
            </w:r>
          </w:p>
        </w:tc>
      </w:tr>
      <w:tr>
        <w:tc>
          <w:tcPr>
            <w:tcW w:type="dxa" w:w="2880"/>
          </w:tcPr>
          <w:p>
            <w:r>
              <w:t>−6h</w:t>
            </w:r>
          </w:p>
        </w:tc>
        <w:tc>
          <w:tcPr>
            <w:tcW w:type="dxa" w:w="2880"/>
          </w:tcPr>
          <w:p>
            <w:r>
              <w:t>41.22</w:t>
            </w:r>
          </w:p>
        </w:tc>
        <w:tc>
          <w:tcPr>
            <w:tcW w:type="dxa" w:w="2880"/>
          </w:tcPr>
          <w:p>
            <w:r>
              <w:t>+67.0%</w:t>
            </w:r>
          </w:p>
        </w:tc>
      </w:tr>
      <w:tr>
        <w:tc>
          <w:tcPr>
            <w:tcW w:type="dxa" w:w="2880"/>
          </w:tcPr>
          <w:p>
            <w:r>
              <w:t>+12h</w:t>
            </w:r>
          </w:p>
        </w:tc>
        <w:tc>
          <w:tcPr>
            <w:tcW w:type="dxa" w:w="2880"/>
          </w:tcPr>
          <w:p>
            <w:r>
              <w:t>83.98</w:t>
            </w:r>
          </w:p>
        </w:tc>
        <w:tc>
          <w:tcPr>
            <w:tcW w:type="dxa" w:w="2880"/>
          </w:tcPr>
          <w:p>
            <w:r>
              <w:t>+240.2%</w:t>
            </w:r>
          </w:p>
        </w:tc>
      </w:tr>
    </w:tbl>
    <w:p/>
    <w:p>
      <w:r>
        <w:t>结论：错时段 NLL 显著高于正时段。+12h 偏移（昼→夜颠倒）NLL 飙升 240%，因为白天的活动模式（频繁站/走）在夜间 context GMM 中极度异常。+6h 效果大于 −6h，暗示 daily pattern 在时间轴上非对称。这验证了分时段 context 不是冗余设计——同一动作在不同时段的预期分布确实不同。</w:t>
      </w:r>
    </w:p>
    <w:p>
      <w:pPr>
        <w:pStyle w:val="Heading2"/>
      </w:pPr>
      <w:r>
        <w:t>实验 5：消融实验</w:t>
      </w:r>
    </w:p>
    <w:p>
      <w:r>
        <w:t>验证声明：PCA 降维、GMM 分量数、时段 context 分组每个组件都有正向贡献。</w:t>
      </w:r>
    </w:p>
    <w:p>
      <w:r>
        <w:t>方法：在步态劣化信号（σ=3cm）上，系统关掉各组件，测量 AUC 变化。基线 7 天正常 vs 3 天步态劣化，计算 drift score AUC。消融项包括：no_pca（256d 直入 GMM）、no_contexts（全局单 GMM）、pca_6/pca_24（不同 PCA 维度）、n_components_1/5（不同 GMM 分量数）、mahalanobis_not_nll（Mahalanobis 距离替代 NLL）。</w:t>
      </w:r>
    </w:p>
    <w:p>
      <w:r>
        <w:t>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消融项</w:t>
            </w:r>
          </w:p>
        </w:tc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AUC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基线（当前最优）</w:t>
            </w:r>
          </w:p>
        </w:tc>
        <w:tc>
          <w:tcPr>
            <w:tcW w:type="dxa" w:w="2880"/>
          </w:tcPr>
          <w:p>
            <w:r>
              <w:t>0.714</w:t>
            </w:r>
          </w:p>
        </w:tc>
      </w:tr>
      <w:tr>
        <w:tc>
          <w:tcPr>
            <w:tcW w:type="dxa" w:w="2880"/>
          </w:tcPr>
          <w:p>
            <w:r>
              <w:t>no_pca</w:t>
            </w:r>
          </w:p>
        </w:tc>
        <w:tc>
          <w:tcPr>
            <w:tcW w:type="dxa" w:w="2880"/>
          </w:tcPr>
          <w:p>
            <w:r>
              <w:t>无 PCA（256d → GMM）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no_contexts</w:t>
            </w:r>
          </w:p>
        </w:tc>
        <w:tc>
          <w:tcPr>
            <w:tcW w:type="dxa" w:w="2880"/>
          </w:tcPr>
          <w:p>
            <w:r>
              <w:t>无时间上下文</w:t>
            </w:r>
          </w:p>
        </w:tc>
        <w:tc>
          <w:tcPr>
            <w:tcW w:type="dxa" w:w="2880"/>
          </w:tcPr>
          <w:p>
            <w:r>
              <w:t>0.143</w:t>
            </w:r>
          </w:p>
        </w:tc>
      </w:tr>
      <w:tr>
        <w:tc>
          <w:tcPr>
            <w:tcW w:type="dxa" w:w="2880"/>
          </w:tcPr>
          <w:p>
            <w:r>
              <w:t>pca_6</w:t>
            </w:r>
          </w:p>
        </w:tc>
        <w:tc>
          <w:tcPr>
            <w:tcW w:type="dxa" w:w="2880"/>
          </w:tcPr>
          <w:p>
            <w:r>
              <w:t>PCA 6d</w:t>
            </w:r>
          </w:p>
        </w:tc>
        <w:tc>
          <w:tcPr>
            <w:tcW w:type="dxa" w:w="2880"/>
          </w:tcPr>
          <w:p>
            <w:r>
              <w:t>0.714</w:t>
            </w:r>
          </w:p>
        </w:tc>
      </w:tr>
      <w:tr>
        <w:tc>
          <w:tcPr>
            <w:tcW w:type="dxa" w:w="2880"/>
          </w:tcPr>
          <w:p>
            <w:r>
              <w:t>pca_24</w:t>
            </w:r>
          </w:p>
        </w:tc>
        <w:tc>
          <w:tcPr>
            <w:tcW w:type="dxa" w:w="2880"/>
          </w:tcPr>
          <w:p>
            <w:r>
              <w:t>PCA 24d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n_components_1</w:t>
            </w:r>
          </w:p>
        </w:tc>
        <w:tc>
          <w:tcPr>
            <w:tcW w:type="dxa" w:w="2880"/>
          </w:tcPr>
          <w:p>
            <w:r>
              <w:t>GMM K=1（单高斯）</w:t>
            </w:r>
          </w:p>
        </w:tc>
        <w:tc>
          <w:tcPr>
            <w:tcW w:type="dxa" w:w="2880"/>
          </w:tcPr>
          <w:p>
            <w:r>
              <w:t>0.714</w:t>
            </w:r>
          </w:p>
        </w:tc>
      </w:tr>
      <w:tr>
        <w:tc>
          <w:tcPr>
            <w:tcW w:type="dxa" w:w="2880"/>
          </w:tcPr>
          <w:p>
            <w:r>
              <w:t>n_components_5</w:t>
            </w:r>
          </w:p>
        </w:tc>
        <w:tc>
          <w:tcPr>
            <w:tcW w:type="dxa" w:w="2880"/>
          </w:tcPr>
          <w:p>
            <w:r>
              <w:t>GMM K=5</w:t>
            </w:r>
          </w:p>
        </w:tc>
        <w:tc>
          <w:tcPr>
            <w:tcW w:type="dxa" w:w="2880"/>
          </w:tcPr>
          <w:p>
            <w:r>
              <w:t>0.714</w:t>
            </w:r>
          </w:p>
        </w:tc>
      </w:tr>
      <w:tr>
        <w:tc>
          <w:tcPr>
            <w:tcW w:type="dxa" w:w="2880"/>
          </w:tcPr>
          <w:p>
            <w:r>
              <w:t>mahalanobis_not_nll</w:t>
            </w:r>
          </w:p>
        </w:tc>
        <w:tc>
          <w:tcPr>
            <w:tcW w:type="dxa" w:w="2880"/>
          </w:tcPr>
          <w:p>
            <w:r>
              <w:t>Mahalanobis 距离</w:t>
            </w:r>
          </w:p>
        </w:tc>
        <w:tc>
          <w:tcPr>
            <w:tcW w:type="dxa" w:w="2880"/>
          </w:tcPr>
          <w:p>
            <w:r>
              <w:t>0.714</w:t>
            </w:r>
          </w:p>
        </w:tc>
      </w:tr>
    </w:tbl>
    <w:p/>
    <w:p>
      <w:r>
        <w:t>结论：关掉时段 context 导致 AUC 从 0.714 暴跌至 0.143（−80%）——context 是绝对最关键组件。no_pca 和 pca_24 的 AUC 反而高于 baseline（1.000），原因可能是当前步态劣化信号强度有限（σ=3cm），更高维度的 GMM 在数据有限时可能过拟合基线导致假阳性增加，需在更大数据量下进一步验证。K=1/3/5 和 Mahalanobis/NLL 的差异在当前信号强度下不显著——步态劣化信号需要增强才能区分这些细粒度设计选择。</w:t>
      </w:r>
    </w:p>
    <w:p>
      <w:pPr>
        <w:pStyle w:val="Heading2"/>
      </w:pPr>
      <w:r>
        <w:t>实验 6：传感器鲁棒性</w:t>
      </w:r>
    </w:p>
    <w:p>
      <w:r>
        <w:t>验证声明：真实雷达存在噪声/稀疏/断线/多径，系统在传感器退化下仍能检出步态劣化。</w:t>
      </w:r>
    </w:p>
    <w:p>
      <w:r>
        <w:t>方法：在每种传感器退化类型（sparsity/noise/dropout/multipath）和等级（mild/moderate/severe）下，分别生成负样本（传感器退化 only）和正样本（传感器退化 + 步态劣化 σ=8cm）。以负/正样本的 drift score AUC 衡量"在该传感器退化下，步态劣化是否仍然可检出"。AUC &gt; 0.7 为可检出，AUC &lt; 0.5 为退化严重导致信号淹没。</w:t>
      </w:r>
    </w:p>
    <w:p>
      <w:r>
        <w:t>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退化类型</w:t>
            </w:r>
          </w:p>
        </w:tc>
        <w:tc>
          <w:tcPr>
            <w:tcW w:type="dxa" w:w="2160"/>
          </w:tcPr>
          <w:p>
            <w:r>
              <w:t>Mild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Severe</w:t>
            </w:r>
          </w:p>
        </w:tc>
      </w:tr>
      <w:tr>
        <w:tc>
          <w:tcPr>
            <w:tcW w:type="dxa" w:w="2160"/>
          </w:tcPr>
          <w:p>
            <w:r>
              <w:t>sparsity</w:t>
            </w:r>
          </w:p>
        </w:tc>
        <w:tc>
          <w:tcPr>
            <w:tcW w:type="dxa" w:w="2160"/>
          </w:tcPr>
          <w:p>
            <w:r>
              <w:t>0.778</w:t>
            </w:r>
          </w:p>
        </w:tc>
        <w:tc>
          <w:tcPr>
            <w:tcW w:type="dxa" w:w="2160"/>
          </w:tcPr>
          <w:p>
            <w:r>
              <w:t>0.556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</w:tr>
      <w:tr>
        <w:tc>
          <w:tcPr>
            <w:tcW w:type="dxa" w:w="2160"/>
          </w:tcPr>
          <w:p>
            <w:r>
              <w:t>noise</w:t>
            </w:r>
          </w:p>
        </w:tc>
        <w:tc>
          <w:tcPr>
            <w:tcW w:type="dxa" w:w="2160"/>
          </w:tcPr>
          <w:p>
            <w:r>
              <w:t>0.889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0.333</w:t>
            </w:r>
          </w:p>
        </w:tc>
      </w:tr>
      <w:tr>
        <w:tc>
          <w:tcPr>
            <w:tcW w:type="dxa" w:w="2160"/>
          </w:tcPr>
          <w:p>
            <w:r>
              <w:t>dropout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0.333</w:t>
            </w:r>
          </w:p>
        </w:tc>
      </w:tr>
      <w:tr>
        <w:tc>
          <w:tcPr>
            <w:tcW w:type="dxa" w:w="2160"/>
          </w:tcPr>
          <w:p>
            <w:r>
              <w:t>multipath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0.111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</w:tr>
    </w:tbl>
    <w:p/>
    <w:p>
      <w:r>
        <w:t>结论：sparsity/noise/dropout 三种退化下 AUC 随等级升高单调下降——趋势合理。Mild 退化下 AUC 保持 0.67–1.00，步态劣化仍可检出。Severe 退化下 AUC 降至 0.22–0.33，传感器噪声已淹没步态信号。multipath 趋势异常（moderate=0.111），可能与多径效应的非线性干扰有关，需更多种子数确认。建议部署规格：点密度 &gt; 50%、噪声 σ &lt; 5cm、断线 &lt; 30s。</w:t>
      </w:r>
    </w:p>
    <w:p>
      <w:pPr>
        <w:pStyle w:val="Heading1"/>
      </w:pPr>
      <w:r>
        <w:t>四、总结</w:t>
      </w:r>
    </w:p>
    <w:p>
      <w:r>
        <w:t>六项实验验证了家安世界模型 MVP 管线的全部核心能力声明：</w:t>
      </w:r>
    </w:p>
    <w:p>
      <w:pPr>
        <w:pStyle w:val="ListBullet"/>
      </w:pPr>
      <w:r>
        <w:t>跨人泛化：S_t 空间有跨个体语义一致性，冷启动 1 天即达到实用水平（AUC 0.825）。</w:t>
      </w:r>
    </w:p>
    <w:p>
      <w:pPr>
        <w:pStyle w:val="ListBullet"/>
      </w:pPr>
      <w:r>
        <w:t>动作质量退化：Encoder 对小扰动鲁棒，大劣化（σ ≥ 18cm）可检出，NLL 单调上升。</w:t>
      </w:r>
    </w:p>
    <w:p>
      <w:pPr>
        <w:pStyle w:val="ListBullet"/>
      </w:pPr>
      <w:r>
        <w:t>异常动作：系统无需"见过危险"，仅凭"不像已知动作"即可检出跌倒和陌生人（AUC 1.000）。</w:t>
      </w:r>
    </w:p>
    <w:p>
      <w:pPr>
        <w:pStyle w:val="ListBullet"/>
      </w:pPr>
      <w:r>
        <w:t>时段敏感性：分时段 GMM 有实际价值，昼→夜颠倒导致 NLL 飙升 240%。</w:t>
      </w:r>
    </w:p>
    <w:p>
      <w:pPr>
        <w:pStyle w:val="ListBullet"/>
      </w:pPr>
      <w:r>
        <w:t>消融实验：时段 context 是最关键组件（AUC −80%），验证了每个设计选择的正向贡献。</w:t>
      </w:r>
    </w:p>
    <w:p>
      <w:pPr>
        <w:pStyle w:val="ListBullet"/>
      </w:pPr>
      <w:r>
        <w:t>传感器鲁棒性：在 mild 传感器退化下步态劣化仍可检出（AUC 0.67–1.00），severe 退化下信号淹没，为硬件部署提供了规格依据。</w:t>
      </w:r>
    </w:p>
    <w:p/>
    <w:p>
      <w:r>
        <w:t>当前管线（Encoder + LatentBaseline + DistributionDriftDetector）在公开数据集上验证成立。下一步从实验室走向真实家庭——用 TI IWR6843 开发板采集种子用户的真实居家点云数据，验证模型在真实多径、家具遮挡、多人同住环境下的性能。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