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thods"/>
    <w:p>
      <w:pPr>
        <w:pStyle w:val="Heading1"/>
      </w:pPr>
      <w:r>
        <w:t xml:space="preserve">Methods</w:t>
      </w:r>
    </w:p>
    <w:bookmarkStart w:id="20" w:name="lineage-specific-transcript-anchors"/>
    <w:p>
      <w:pPr>
        <w:pStyle w:val="Heading2"/>
      </w:pPr>
      <w:r>
        <w:t xml:space="preserve">Lineage-specific transcript anchors</w:t>
      </w:r>
    </w:p>
    <w:p>
      <w:pPr>
        <w:pStyle w:val="FirstParagraph"/>
      </w:pPr>
      <w:r>
        <w:t xml:space="preserve">Each gene was assigned to a single lineage label based on its expression specificity across a reference set of seven dermal lineages (Endothelial, Fibroblast, Keratinocyte, Melanoma, Myeloid, Plasma, Tcell). For each gene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we computed the conditional probability</w:t>
      </w:r>
      <w:r>
        <w:t xml:space="preserve"> </w:t>
      </w:r>
      <w:r>
        <w:rPr>
          <w:i/>
          <w:iCs/>
        </w:rPr>
        <w:t xml:space="preserve">P</w:t>
      </w:r>
      <w:r>
        <w:t xml:space="preserve">(lineage |</w:t>
      </w:r>
      <w:r>
        <w:t xml:space="preserve"> </w:t>
      </w:r>
      <w:r>
        <w:rPr>
          <w:i/>
          <w:iCs/>
        </w:rPr>
        <w:t xml:space="preserve">g</w:t>
      </w:r>
      <w:r>
        <w:t xml:space="preserve">) and the ratio between the top and runner-up lineage probability. Genes whose top assignment was unambiguous were retained as lineage-specific markers; all other genes (≈72% of the panel) were labelled</w:t>
      </w:r>
      <w:r>
        <w:t xml:space="preserve"> </w:t>
      </w:r>
      <w:r>
        <w:t xml:space="preserve">“ambiguous”</w:t>
      </w:r>
      <w:r>
        <w:t xml:space="preserve"> </w:t>
      </w:r>
      <w:r>
        <w:t xml:space="preserve">and excluded from downstream anchor construction.</w:t>
      </w:r>
    </w:p>
    <w:p>
      <w:pPr>
        <w:pStyle w:val="BodyText"/>
      </w:pPr>
      <w:r>
        <w:t xml:space="preserve">Xenium transcripts were filtered to per-transcript quality score ≥ 20 and</w:t>
      </w:r>
      <w:r>
        <w:t xml:space="preserve"> </w:t>
      </w:r>
      <w:r>
        <w:rPr>
          <w:rStyle w:val="VerbatimChar"/>
        </w:rPr>
        <w:t xml:space="preserve">valid == 1</w:t>
      </w:r>
      <w:r>
        <w:t xml:space="preserve">. Each retained transcript whose gene mapped to one of the seven lineages became an</w:t>
      </w:r>
      <w:r>
        <w:t xml:space="preserve"> </w:t>
      </w:r>
      <w:r>
        <w:t xml:space="preserve">“anchor”</w:t>
      </w:r>
      <w:r>
        <w:t xml:space="preserve"> </w:t>
      </w:r>
      <w:r>
        <w:t xml:space="preserve">at its 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 pixel position (pixel size = 0.2125 µm). Across the whole-slide image, this yielded 1.3 × 10⁷ anchors from 7.4 × 10⁷ raw transcripts.</w:t>
      </w:r>
    </w:p>
    <w:bookmarkEnd w:id="20"/>
    <w:bookmarkStart w:id="21" w:name="per-pixel-lineage-posterior"/>
    <w:p>
      <w:pPr>
        <w:pStyle w:val="Heading2"/>
      </w:pPr>
      <w:r>
        <w:t xml:space="preserve">Per-pixel lineage posterior</w:t>
      </w:r>
    </w:p>
    <w:p>
      <w:pPr>
        <w:pStyle w:val="FirstParagraph"/>
      </w:pPr>
      <w:r>
        <w:t xml:space="preserve">For each lineage</w:t>
      </w:r>
      <w:r>
        <w:t xml:space="preserve"> </w:t>
      </w:r>
      <w:r>
        <w:rPr>
          <w:i/>
          <w:iCs/>
        </w:rPr>
        <w:t xml:space="preserve">k</w:t>
      </w:r>
      <w:r>
        <w:t xml:space="preserve">, the anchor density ρ</w:t>
      </w:r>
      <w:r>
        <w:t xml:space="preserve">k</w:t>
      </w:r>
      <w:r>
        <w:t xml:space="preserve">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 was computed by binning anchors to integer pixel positions and convolving with an isotropic Gaussian of σ</w:t>
      </w:r>
      <w:r>
        <w:t xml:space="preserve">diff</w:t>
      </w:r>
      <w:r>
        <w:t xml:space="preserve"> </w:t>
      </w:r>
      <w:r>
        <w:t xml:space="preserve">= 2 µm (≈ 9.4 px). The effective per-pixel count is</w:t>
      </w:r>
    </w:p>
    <w:p>
      <w:pPr>
        <w:pStyle w:val="BlockText"/>
      </w:pPr>
      <w:r>
        <w:rPr>
          <w:i/>
          <w:iCs/>
        </w:rPr>
        <w:t xml:space="preserve">N</w:t>
      </w:r>
      <w:r>
        <w:t xml:space="preserve">k</w:t>
      </w:r>
      <w:r>
        <w:t xml:space="preserve">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 = 2π σ</w:t>
      </w:r>
      <w:r>
        <w:t xml:space="preserve">diff</w:t>
      </w:r>
      <w:r>
        <w:t xml:space="preserve">² · ρ</w:t>
      </w:r>
      <w:r>
        <w:t xml:space="preserve">k</w:t>
      </w:r>
      <w:r>
        <w:t xml:space="preserve">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</w:t>
      </w:r>
    </w:p>
    <w:p>
      <w:pPr>
        <w:pStyle w:val="FirstParagraph"/>
      </w:pPr>
      <w:r>
        <w:t xml:space="preserve">so that each anchor contributes a unit mass to its local neighbourhood. The summed count is</w:t>
      </w:r>
      <w:r>
        <w:t xml:space="preserve"> </w:t>
      </w:r>
      <w:r>
        <w:rPr>
          <w:i/>
          <w:iCs/>
        </w:rPr>
        <w:t xml:space="preserve">N</w:t>
      </w:r>
      <w:r>
        <w:t xml:space="preserve">total</w:t>
      </w:r>
      <w:r>
        <w:t xml:space="preserve"> </w:t>
      </w:r>
      <w:r>
        <w:t xml:space="preserve">= Σ</w:t>
      </w:r>
      <w:r>
        <w:t xml:space="preserve">k</w:t>
      </w:r>
      <w:r>
        <w:t xml:space="preserve"> </w:t>
      </w:r>
      <w:r>
        <w:rPr>
          <w:i/>
          <w:iCs/>
        </w:rPr>
        <w:t xml:space="preserve">N</w:t>
      </w:r>
      <w:r>
        <w:t xml:space="preserve">k</w:t>
      </w:r>
      <w:r>
        <w:t xml:space="preserve">.</w:t>
      </w:r>
    </w:p>
    <w:p>
      <w:pPr>
        <w:pStyle w:val="BodyText"/>
      </w:pPr>
      <w:r>
        <w:t xml:space="preserve">A Dirichlet posterior with concentration α = 10 was applied:</w:t>
      </w:r>
    </w:p>
    <w:p>
      <w:pPr>
        <w:pStyle w:val="BlockText"/>
      </w:pPr>
      <w:r>
        <w:t xml:space="preserve">π</w:t>
      </w:r>
      <w:r>
        <w:t xml:space="preserve">k</w:t>
      </w:r>
      <w:r>
        <w:t xml:space="preserve">post</w:t>
      </w:r>
      <w:r>
        <w:t xml:space="preserve">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 = (</w:t>
      </w:r>
      <w:r>
        <w:rPr>
          <w:i/>
          <w:iCs/>
        </w:rPr>
        <w:t xml:space="preserve">N</w:t>
      </w:r>
      <w:r>
        <w:t xml:space="preserve">k</w:t>
      </w:r>
      <w:r>
        <w:t xml:space="preserve"> </w:t>
      </w:r>
      <w:r>
        <w:t xml:space="preserve">+ α) / (</w:t>
      </w:r>
      <w:r>
        <w:rPr>
          <w:i/>
          <w:iCs/>
        </w:rPr>
        <w:t xml:space="preserve">N</w:t>
      </w:r>
      <w:r>
        <w:t xml:space="preserve">total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K</w:t>
      </w:r>
      <w:r>
        <w:t xml:space="preserve">·α), with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7.</w:t>
      </w:r>
    </w:p>
    <w:p>
      <w:pPr>
        <w:pStyle w:val="FirstParagraph"/>
      </w:pPr>
      <w:r>
        <w:t xml:space="preserve">To prevent unreliable posteriors in sparse-anchor regions, we used a</w:t>
      </w:r>
      <w:r>
        <w:t xml:space="preserve"> </w:t>
      </w:r>
      <w:r>
        <w:t xml:space="preserve">“grey-abstain”</w:t>
      </w:r>
      <w:r>
        <w:t xml:space="preserve"> </w:t>
      </w:r>
      <w:r>
        <w:t xml:space="preserve">mixture with the uniform prior. Defining a per-pixel confidence</w:t>
      </w:r>
    </w:p>
    <w:p>
      <w:pPr>
        <w:pStyle w:val="BlockText"/>
      </w:pPr>
      <w:r>
        <w:rPr>
          <w:i/>
          <w:iCs/>
        </w:rPr>
        <w:t xml:space="preserve">c</w:t>
      </w:r>
      <w:r>
        <w:t xml:space="preserve">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 =</w:t>
      </w:r>
      <w:r>
        <w:t xml:space="preserve"> </w:t>
      </w:r>
      <w:r>
        <w:rPr>
          <w:i/>
          <w:iCs/>
        </w:rPr>
        <w:t xml:space="preserve">N</w:t>
      </w:r>
      <w:r>
        <w:t xml:space="preserve">total</w:t>
      </w:r>
      <w:r>
        <w:t xml:space="preserve"> </w:t>
      </w:r>
      <w:r>
        <w:t xml:space="preserve">/ (</w:t>
      </w:r>
      <w:r>
        <w:rPr>
          <w:i/>
          <w:iCs/>
        </w:rPr>
        <w:t xml:space="preserve">N</w:t>
      </w:r>
      <w:r>
        <w:t xml:space="preserve">total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N</w:t>
      </w:r>
      <w:r>
        <w:t xml:space="preserve">min</w:t>
      </w:r>
      <w:r>
        <w:t xml:space="preserve">), with</w:t>
      </w:r>
      <w:r>
        <w:t xml:space="preserve"> </w:t>
      </w:r>
      <w:r>
        <w:rPr>
          <w:i/>
          <w:iCs/>
        </w:rPr>
        <w:t xml:space="preserve">N</w:t>
      </w:r>
      <w:r>
        <w:t xml:space="preserve">min</w:t>
      </w:r>
      <w:r>
        <w:t xml:space="preserve"> </w:t>
      </w:r>
      <w:r>
        <w:t xml:space="preserve">= 3,</w:t>
      </w:r>
    </w:p>
    <w:p>
      <w:pPr>
        <w:pStyle w:val="FirstParagraph"/>
      </w:pPr>
      <w:r>
        <w:t xml:space="preserve">the final posterior is</w:t>
      </w:r>
    </w:p>
    <w:p>
      <w:pPr>
        <w:pStyle w:val="BlockText"/>
      </w:pPr>
      <w:r>
        <w:t xml:space="preserve">π</w:t>
      </w:r>
      <w:r>
        <w:t xml:space="preserve">k</w:t>
      </w:r>
      <w:r>
        <w:t xml:space="preserve">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 =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· π</w:t>
      </w:r>
      <w:r>
        <w:t xml:space="preserve">k</w:t>
      </w:r>
      <w:r>
        <w:t xml:space="preserve">post</w:t>
      </w:r>
      <w:r>
        <w:t xml:space="preserve"> </w:t>
      </w:r>
      <w:r>
        <w:t xml:space="preserve">+ (1 −</w:t>
      </w:r>
      <w:r>
        <w:t xml:space="preserve"> </w:t>
      </w:r>
      <w:r>
        <w:rPr>
          <w:i/>
          <w:iCs/>
        </w:rPr>
        <w:t xml:space="preserve">c</w:t>
      </w:r>
      <w:r>
        <w:t xml:space="preserve">) · (1 /</w:t>
      </w:r>
      <w:r>
        <w:t xml:space="preserve"> </w:t>
      </w:r>
      <w:r>
        <w:rPr>
          <w:i/>
          <w:iCs/>
        </w:rPr>
        <w:t xml:space="preserve">K</w:t>
      </w:r>
      <w:r>
        <w:t xml:space="preserve">).</w:t>
      </w:r>
    </w:p>
    <w:p>
      <w:pPr>
        <w:pStyle w:val="FirstParagraph"/>
      </w:pPr>
      <w:r>
        <w:t xml:space="preserve">In regions with abundant anchors (</w:t>
      </w:r>
      <w:r>
        <w:rPr>
          <w:i/>
          <w:iCs/>
        </w:rPr>
        <w:t xml:space="preserve">c</w:t>
      </w:r>
      <w:r>
        <w:t xml:space="preserve"> </w:t>
      </w:r>
      <w:r>
        <w:t xml:space="preserve">→ 1) this converges to the Dirichlet posterior; in regions with few or no anchors (</w:t>
      </w:r>
      <w:r>
        <w:rPr>
          <w:i/>
          <w:iCs/>
        </w:rPr>
        <w:t xml:space="preserve">c</w:t>
      </w:r>
      <w:r>
        <w:t xml:space="preserve"> </w:t>
      </w:r>
      <w:r>
        <w:t xml:space="preserve">→ 0) it collapses to a uniform distribution, suppressing spurious edge signal downstream.</w:t>
      </w:r>
    </w:p>
    <w:bookmarkEnd w:id="21"/>
    <w:bookmarkStart w:id="22" w:name="per-pixel-edge-field"/>
    <w:p>
      <w:pPr>
        <w:pStyle w:val="Heading2"/>
      </w:pPr>
      <w:r>
        <w:t xml:space="preserve">Per-pixel edge field</w:t>
      </w:r>
    </w:p>
    <w:p>
      <w:pPr>
        <w:pStyle w:val="FirstParagraph"/>
      </w:pPr>
      <w:r>
        <w:t xml:space="preserve">To detect heterotypic boundaries without prior knowledge of cell identity, we used a segmentation-agnostic one-vs-rest formulation. For each lineage</w:t>
      </w:r>
      <w:r>
        <w:t xml:space="preserve"> </w:t>
      </w:r>
      <w:r>
        <w:rPr>
          <w:i/>
          <w:iCs/>
        </w:rPr>
        <w:t xml:space="preserve">k</w:t>
      </w:r>
      <w:r>
        <w:t xml:space="preserve">, define a signed competition margin</w:t>
      </w:r>
    </w:p>
    <w:p>
      <w:pPr>
        <w:pStyle w:val="BlockText"/>
      </w:pPr>
      <w:r>
        <w:rPr>
          <w:i/>
          <w:iCs/>
        </w:rPr>
        <w:t xml:space="preserve">s</w:t>
      </w:r>
      <w:r>
        <w:t xml:space="preserve">k</w:t>
      </w:r>
      <w:r>
        <w:t xml:space="preserve">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 = π</w:t>
      </w:r>
      <w:r>
        <w:t xml:space="preserve">k</w:t>
      </w:r>
      <w:r>
        <w:t xml:space="preserve"> </w:t>
      </w:r>
      <w:r>
        <w:t xml:space="preserve">− max</w:t>
      </w:r>
      <w:r>
        <w:t xml:space="preserve">j ≠ k</w:t>
      </w:r>
      <w:r>
        <w:t xml:space="preserve"> </w:t>
      </w:r>
      <w:r>
        <w:t xml:space="preserve">π</w:t>
      </w:r>
      <w:r>
        <w:t xml:space="preserve">j</w:t>
      </w:r>
      <w:r>
        <w:t xml:space="preserve">.</w:t>
      </w:r>
    </w:p>
    <w:p>
      <w:pPr>
        <w:pStyle w:val="FirstParagraph"/>
      </w:pPr>
      <w:r>
        <w:t xml:space="preserve">Note that</w:t>
      </w:r>
      <w:r>
        <w:t xml:space="preserve"> </w:t>
      </w:r>
      <w:r>
        <w:rPr>
          <w:i/>
          <w:iCs/>
        </w:rPr>
        <w:t xml:space="preserve">s</w:t>
      </w:r>
      <w:r>
        <w:t xml:space="preserve">k</w:t>
      </w:r>
      <w:r>
        <w:t xml:space="preserve"> </w:t>
      </w:r>
      <w:r>
        <w:t xml:space="preserve">changes sign exactly where lineage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transitions from locally dominant to non-dominant — i.e., at lineage boundaries. Each lineage’s contribution to the edge field is the gradient magnitude of a tanh-sharpened margin:</w:t>
      </w:r>
    </w:p>
    <w:p>
      <w:pPr>
        <w:pStyle w:val="BlockText"/>
      </w:pPr>
      <w:r>
        <w:rPr>
          <w:i/>
          <w:iCs/>
        </w:rPr>
        <w:t xml:space="preserve">e</w:t>
      </w:r>
      <w:r>
        <w:t xml:space="preserve">k</w:t>
      </w:r>
      <w:r>
        <w:t xml:space="preserve">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 = ‖∇ tanh(</w:t>
      </w:r>
      <w:r>
        <w:rPr>
          <w:i/>
          <w:iCs/>
        </w:rPr>
        <w:t xml:space="preserve">K</w:t>
      </w:r>
      <w:r>
        <w:t xml:space="preserve">sharp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</w:t>
      </w:r>
      <w:r>
        <w:t xml:space="preserve">k</w:t>
      </w:r>
      <w:r>
        <w:t xml:space="preserve">)‖₂, with</w:t>
      </w:r>
      <w:r>
        <w:t xml:space="preserve"> </w:t>
      </w:r>
      <w:r>
        <w:rPr>
          <w:i/>
          <w:iCs/>
        </w:rPr>
        <w:t xml:space="preserve">K</w:t>
      </w:r>
      <w:r>
        <w:t xml:space="preserve">sharp</w:t>
      </w:r>
      <w:r>
        <w:t xml:space="preserve"> </w:t>
      </w:r>
      <w:r>
        <w:t xml:space="preserve">= 8,</w:t>
      </w:r>
    </w:p>
    <w:p>
      <w:pPr>
        <w:pStyle w:val="FirstParagraph"/>
      </w:pPr>
      <w:r>
        <w:t xml:space="preserve">computed using Sobel operators. The combined edge field is</w:t>
      </w:r>
    </w:p>
    <w:p>
      <w:pPr>
        <w:pStyle w:val="BlockText"/>
      </w:pPr>
      <w:r>
        <w:rPr>
          <w:i/>
          <w:iCs/>
        </w:rPr>
        <w:t xml:space="preserve">E</w:t>
      </w:r>
      <w:r>
        <w:t xml:space="preserve">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 = Σ</w:t>
      </w:r>
      <w:r>
        <w:t xml:space="preserve">k</w:t>
      </w:r>
      <w:r>
        <w:t xml:space="preserve"> </w:t>
      </w:r>
      <w:r>
        <w:rPr>
          <w:i/>
          <w:iCs/>
        </w:rPr>
        <w:t xml:space="preserve">e</w:t>
      </w:r>
      <w:r>
        <w:t xml:space="preserve">k</w:t>
      </w:r>
      <w:r>
        <w:t xml:space="preserve">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).</w:t>
      </w:r>
    </w:p>
    <w:p>
      <w:pPr>
        <w:pStyle w:val="FirstParagraph"/>
      </w:pPr>
      <w:r>
        <w:t xml:space="preserve">Heterotypic boundaries are detected from both sides (each of the two adjacent lineages contributes a sign change) and are therefore emphasised relative to homotypic transitions. In the special case where only two lineages have non-trivial posterior locally, this formulation reduces to 2·‖∇ tanh(</w:t>
      </w:r>
      <w:r>
        <w:rPr>
          <w:i/>
          <w:iCs/>
        </w:rPr>
        <w:t xml:space="preserve">K</w:t>
      </w:r>
      <w:r>
        <w:t xml:space="preserve">sharp</w:t>
      </w:r>
      <w:r>
        <w:t xml:space="preserve"> </w:t>
      </w:r>
      <w:r>
        <w:t xml:space="preserve">· (π</w:t>
      </w:r>
      <w:r>
        <w:t xml:space="preserve">a</w:t>
      </w:r>
      <w:r>
        <w:t xml:space="preserve"> </w:t>
      </w:r>
      <w:r>
        <w:t xml:space="preserve">− π</w:t>
      </w:r>
      <w:r>
        <w:t xml:space="preserve">b</w:t>
      </w:r>
      <w:r>
        <w:t xml:space="preserve">))‖₂, a pair-specific edge detector.</w:t>
      </w:r>
    </w:p>
    <w:bookmarkEnd w:id="22"/>
    <w:bookmarkStart w:id="23" w:name="cell-evidence-weighting"/>
    <w:p>
      <w:pPr>
        <w:pStyle w:val="Heading2"/>
      </w:pPr>
      <w:r>
        <w:t xml:space="preserve">Cell-evidence weighting</w:t>
      </w:r>
    </w:p>
    <w:p>
      <w:pPr>
        <w:pStyle w:val="FirstParagraph"/>
      </w:pPr>
      <w:r>
        <w:t xml:space="preserve">To restrict edges to cellular regions without consuming any prior segmentation, we weighted the edge field by morphology signal only. DAPI and 18S whole-slide images were 1st–99th percentile clipped to [0, 1] to give</w:t>
      </w:r>
      <w:r>
        <w:t xml:space="preserve"> </w:t>
      </w:r>
      <w:r>
        <w:rPr>
          <w:i/>
          <w:iCs/>
        </w:rPr>
        <w:t xml:space="preserve">D</w:t>
      </w:r>
      <w:r>
        <w:t xml:space="preserve">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</w:t>
      </w:r>
      <w:r>
        <w:t xml:space="preserve">n</w:t>
      </w:r>
      <w:r>
        <w:t xml:space="preserve">. The cell-evidence gate is</w:t>
      </w:r>
    </w:p>
    <w:p>
      <w:pPr>
        <w:pStyle w:val="BlockText"/>
      </w:pPr>
      <w:r>
        <w:t xml:space="preserve">ε(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 = max(</w:t>
      </w:r>
      <w:r>
        <w:rPr>
          <w:i/>
          <w:iCs/>
        </w:rPr>
        <w:t xml:space="preserve">D</w:t>
      </w:r>
      <w:r>
        <w:t xml:space="preserve">n</w:t>
      </w:r>
      <w:r>
        <w:t xml:space="preserve">,</w:t>
      </w:r>
      <w:r>
        <w:t xml:space="preserve"> </w:t>
      </w:r>
      <w:r>
        <w:rPr>
          <w:i/>
          <w:iCs/>
        </w:rPr>
        <w:t xml:space="preserve">S</w:t>
      </w:r>
      <w:r>
        <w:t xml:space="preserve">n</w:t>
      </w:r>
      <w:r>
        <w:t xml:space="preserve">),</w:t>
      </w:r>
    </w:p>
    <w:p>
      <w:pPr>
        <w:pStyle w:val="FirstParagraph"/>
      </w:pPr>
      <w:r>
        <w:t xml:space="preserve">which is non-zero wherever any nuclear (DAPI) or cytoplasmic (18S) signal is present. Combined with the per-pixel confidence, the weighted edge field is</w:t>
      </w:r>
    </w:p>
    <w:p>
      <w:pPr>
        <w:pStyle w:val="BlockText"/>
      </w:pPr>
      <w:r>
        <w:t xml:space="preserve">*E**(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 =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</w:t>
      </w:r>
      <w:r>
        <w:t xml:space="preserve">² · ε.</w:t>
      </w:r>
    </w:p>
    <w:p>
      <w:pPr>
        <w:pStyle w:val="FirstParagraph"/>
      </w:pPr>
      <w:r>
        <w:t xml:space="preserve">The confidence-squared term up-weights regions where the lineage posterior is sharply defined (many anchors) and zeros out empty space; ε excludes background pixels independent of any segmentation.</w:t>
      </w:r>
    </w:p>
    <w:bookmarkEnd w:id="23"/>
    <w:bookmarkStart w:id="24" w:name="cut-field"/>
    <w:p>
      <w:pPr>
        <w:pStyle w:val="Heading2"/>
      </w:pPr>
      <w:r>
        <w:t xml:space="preserve">Cut field</w:t>
      </w:r>
    </w:p>
    <w:p>
      <w:pPr>
        <w:pStyle w:val="FirstParagraph"/>
      </w:pPr>
      <w:r>
        <w:t xml:space="preserve">The weighted edge field was spatially smoothed with σ</w:t>
      </w:r>
      <w:r>
        <w:t xml:space="preserve">cut</w:t>
      </w:r>
      <w:r>
        <w:t xml:space="preserve"> </w:t>
      </w:r>
      <w:r>
        <w:t xml:space="preserve">= 5 px (≈ 1.1 µm) and rescaled to a maximum of</w:t>
      </w:r>
      <w:r>
        <w:t xml:space="preserve"> </w:t>
      </w:r>
      <w:r>
        <w:rPr>
          <w:i/>
          <w:iCs/>
        </w:rPr>
        <w:t xml:space="preserve">d</w:t>
      </w:r>
      <w:r>
        <w:t xml:space="preserve">max</w:t>
      </w:r>
      <w:r>
        <w:t xml:space="preserve"> </w:t>
      </w:r>
      <w:r>
        <w:t xml:space="preserve">= 0.99:</w:t>
      </w:r>
    </w:p>
    <w:p>
      <w:pPr>
        <w:pStyle w:val="BlockText"/>
      </w:pPr>
      <w:r>
        <w:rPr>
          <w:i/>
          <w:iCs/>
        </w:rPr>
        <w:t xml:space="preserve">u</w:t>
      </w:r>
      <w:r>
        <w:t xml:space="preserve">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 = clip(</w:t>
      </w:r>
      <w:r>
        <w:rPr>
          <w:i/>
          <w:iCs/>
        </w:rPr>
        <w:t xml:space="preserve">G</w:t>
      </w:r>
      <w:r>
        <w:t xml:space="preserve">σcut</w:t>
      </w:r>
      <w:r>
        <w:t xml:space="preserve"> </w:t>
      </w:r>
      <w:r>
        <w:t xml:space="preserve">∗ *E** / max(</w:t>
      </w:r>
      <w:r>
        <w:rPr>
          <w:i/>
          <w:iCs/>
        </w:rPr>
        <w:t xml:space="preserve">G</w:t>
      </w:r>
      <w:r>
        <w:t xml:space="preserve">σcut</w:t>
      </w:r>
      <w:r>
        <w:t xml:space="preserve"> </w:t>
      </w:r>
      <w:r>
        <w:t xml:space="preserve">∗ *E**), 0,</w:t>
      </w:r>
      <w:r>
        <w:t xml:space="preserve"> </w:t>
      </w:r>
      <w:r>
        <w:rPr>
          <w:i/>
          <w:iCs/>
        </w:rPr>
        <w:t xml:space="preserve">d</w:t>
      </w:r>
      <w:r>
        <w:t xml:space="preserve">max</w:t>
      </w:r>
      <w:r>
        <w:t xml:space="preserve">).</w:t>
      </w:r>
    </w:p>
    <w:p>
      <w:pPr>
        <w:pStyle w:val="FirstParagraph"/>
      </w:pPr>
      <w:r>
        <w:t xml:space="preserve">The cut field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takes values in [0,</w:t>
      </w:r>
      <w:r>
        <w:t xml:space="preserve"> </w:t>
      </w:r>
      <w:r>
        <w:rPr>
          <w:i/>
          <w:iCs/>
        </w:rPr>
        <w:t xml:space="preserve">d</w:t>
      </w:r>
      <w:r>
        <w:t xml:space="preserve">max</w:t>
      </w:r>
      <w:r>
        <w:t xml:space="preserve">] with peaks at predicted heterotypic boundaries and ~0 elsewhere.</w:t>
      </w:r>
    </w:p>
    <w:bookmarkEnd w:id="24"/>
    <w:bookmarkStart w:id="25" w:name="s-modification-boundary-prior-18s"/>
    <w:p>
      <w:pPr>
        <w:pStyle w:val="Heading2"/>
      </w:pPr>
      <w:r>
        <w:t xml:space="preserve">18S modification (</w:t>
      </w:r>
      <w:r>
        <w:t xml:space="preserve">“boundary-prior 18S”</w:t>
      </w:r>
      <w:r>
        <w:t xml:space="preserve">)</w:t>
      </w:r>
    </w:p>
    <w:p>
      <w:pPr>
        <w:pStyle w:val="FirstParagraph"/>
      </w:pPr>
      <w:r>
        <w:t xml:space="preserve">The raw 18S image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was attenuated by the cut field:</w:t>
      </w:r>
    </w:p>
    <w:p>
      <w:pPr>
        <w:pStyle w:val="BlockText"/>
      </w:pPr>
      <w:r>
        <w:t xml:space="preserve">*S**(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 =</w:t>
      </w:r>
      <w:r>
        <w:t xml:space="preserve"> </w:t>
      </w:r>
      <w:r>
        <w:rPr>
          <w:i/>
          <w:iCs/>
        </w:rPr>
        <w:t xml:space="preserve">S</w:t>
      </w:r>
      <w:r>
        <w:t xml:space="preserve">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 · (1 −</w:t>
      </w:r>
      <w:r>
        <w:t xml:space="preserve"> </w:t>
      </w:r>
      <w:r>
        <w:rPr>
          <w:i/>
          <w:iCs/>
        </w:rPr>
        <w:t xml:space="preserve">u</w:t>
      </w:r>
      <w:r>
        <w:t xml:space="preserve">(</w:t>
      </w:r>
      <w:r>
        <w:rPr>
          <w:i/>
          <w:iCs/>
        </w:rPr>
        <w:t xml:space="preserve">x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)).</w:t>
      </w:r>
    </w:p>
    <w:p>
      <w:pPr>
        <w:pStyle w:val="FirstParagraph"/>
      </w:pPr>
      <w:r>
        <w:t xml:space="preserve">This dims the 18S signal at predicted heterotypic boundaries while leaving non-boundary regions unchanged. Because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depends only on raw transcripts and raw morphology, the modification is segmentation-agnostic and can be applied before any cell-segmentation pass.</w:t>
      </w:r>
    </w:p>
    <w:bookmarkEnd w:id="25"/>
    <w:bookmarkStart w:id="26" w:name="cell-segmentation"/>
    <w:p>
      <w:pPr>
        <w:pStyle w:val="Heading2"/>
      </w:pPr>
      <w:r>
        <w:t xml:space="preserve">Cell segmentation</w:t>
      </w:r>
    </w:p>
    <w:p>
      <w:pPr>
        <w:pStyle w:val="FirstParagraph"/>
      </w:pPr>
      <w:r>
        <w:t xml:space="preserve">Segmentation was performed with Cellpose-SAM (</w:t>
      </w:r>
      <w:r>
        <w:rPr>
          <w:rStyle w:val="VerbatimChar"/>
        </w:rPr>
        <w:t xml:space="preserve">cpsam</w:t>
      </w:r>
      <w:r>
        <w:t xml:space="preserve"> </w:t>
      </w:r>
      <w:r>
        <w:t xml:space="preserve">pretrained model, Cellpose 4.1.1) on a two-channel image (DAPI, 18S) using the validated</w:t>
      </w:r>
      <w:r>
        <w:t xml:space="preserve"> </w:t>
      </w:r>
      <w:r>
        <w:t xml:space="preserve">“max-recall”</w:t>
      </w:r>
      <w:r>
        <w:t xml:space="preserve"> </w:t>
      </w:r>
      <w:r>
        <w:t xml:space="preserve">settings:</w:t>
      </w:r>
      <w:r>
        <w:t xml:space="preserve"> </w:t>
      </w:r>
      <w:r>
        <w:rPr>
          <w:rStyle w:val="VerbatimChar"/>
        </w:rPr>
        <w:t xml:space="preserve">cellprob_threshold = −5.0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flow_threshold = 0.0</w:t>
      </w:r>
      <w:r>
        <w:t xml:space="preserve">,</w:t>
      </w:r>
      <w:r>
        <w:t xml:space="preserve"> </w:t>
      </w:r>
      <w:r>
        <w:rPr>
          <w:rStyle w:val="VerbatimChar"/>
        </w:rPr>
        <w:t xml:space="preserve">diameter = None</w:t>
      </w:r>
      <w:r>
        <w:t xml:space="preserve"> </w:t>
      </w:r>
      <w:r>
        <w:t xml:space="preserve">(auto),</w:t>
      </w:r>
      <w:r>
        <w:t xml:space="preserve"> </w:t>
      </w:r>
      <w:r>
        <w:rPr>
          <w:rStyle w:val="VerbatimChar"/>
        </w:rPr>
        <w:t xml:space="preserve">augment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niter = 200</w:t>
      </w:r>
      <w:r>
        <w:t xml:space="preserve">. Each channel was independently 1st–99th percentile clipped to [0, 1] before stacking.</w:t>
      </w:r>
    </w:p>
    <w:p>
      <w:pPr>
        <w:pStyle w:val="BodyText"/>
      </w:pPr>
      <w:r>
        <w:t xml:space="preserve">For the apples-to-apples comparison between unmodified and boundary-prior 18S, two segmentation passes were performed with identical hyperparameters and identical DAPI input: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Control:</w:t>
      </w:r>
      <w:r>
        <w:t xml:space="preserve"> </w:t>
      </w:r>
      <w:r>
        <w:t xml:space="preserve">Cellpose-SAM on (DAPI,</w:t>
      </w:r>
      <w:r>
        <w:t xml:space="preserve"> </w:t>
      </w:r>
      <w:r>
        <w:rPr>
          <w:i/>
          <w:iCs/>
        </w:rPr>
        <w:t xml:space="preserve">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Boundary-prior:</w:t>
      </w:r>
      <w:r>
        <w:t xml:space="preserve"> </w:t>
      </w:r>
      <w:r>
        <w:t xml:space="preserve">Cellpose-SAM on (DAPI, *S**).</w:t>
      </w:r>
    </w:p>
    <w:p>
      <w:pPr>
        <w:pStyle w:val="FirstParagraph"/>
      </w:pPr>
      <w:r>
        <w:t xml:space="preserve">The only difference between the two passes is the second channel.</w:t>
      </w:r>
    </w:p>
    <w:bookmarkEnd w:id="26"/>
    <w:bookmarkStart w:id="27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The pipeline was implemented in Python 3.11. Anchor density convolution and Sobel gradients were computed with</w:t>
      </w:r>
      <w:r>
        <w:t xml:space="preserve"> </w:t>
      </w:r>
      <w:r>
        <w:rPr>
          <w:rStyle w:val="VerbatimChar"/>
        </w:rPr>
        <w:t xml:space="preserve">scipy.ndimage.gaussian_filter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scipy.ndimage.sobel</w:t>
      </w:r>
      <w:r>
        <w:t xml:space="preserve">. Image I/O used</w:t>
      </w:r>
      <w:r>
        <w:t xml:space="preserve"> </w:t>
      </w:r>
      <w:r>
        <w:rPr>
          <w:rStyle w:val="VerbatimChar"/>
        </w:rPr>
        <w:t xml:space="preserve">tifffile</w:t>
      </w:r>
      <w:r>
        <w:t xml:space="preserve"> </w:t>
      </w:r>
      <w:r>
        <w:t xml:space="preserve">(BigTIFF for whole-slide outputs); transcripts were read from the Xenium per-FOV</w:t>
      </w:r>
      <w:r>
        <w:t xml:space="preserve"> </w:t>
      </w:r>
      <w:r>
        <w:rPr>
          <w:rStyle w:val="VerbatimChar"/>
        </w:rPr>
        <w:t xml:space="preserve">transcripts.zarr.zip</w:t>
      </w:r>
      <w:r>
        <w:t xml:space="preserve"> </w:t>
      </w:r>
      <w:r>
        <w:t xml:space="preserve">index. Cellpose-SAM inference ran on Apple Silicon (Metal Performance Shaders backend).</w:t>
      </w:r>
    </w:p>
    <w:bookmarkEnd w:id="27"/>
    <w:bookmarkStart w:id="28" w:name="parameter-summary"/>
    <w:p>
      <w:pPr>
        <w:pStyle w:val="Heading2"/>
      </w:pPr>
      <w:r>
        <w:t xml:space="preserve">Parameter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 size</w:t>
            </w:r>
          </w:p>
        </w:tc>
        <w:tc>
          <w:tcPr/>
          <w:p>
            <w:pPr>
              <w:pStyle w:val="Compact"/>
            </w:pPr>
            <w:r>
              <w:t xml:space="preserve">0.2125 µm/px</w:t>
            </w:r>
          </w:p>
        </w:tc>
        <w:tc>
          <w:tcPr/>
          <w:p>
            <w:pPr>
              <w:pStyle w:val="Compact"/>
            </w:pPr>
            <w:r>
              <w:t xml:space="preserve">Xenium morphology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diff</w:t>
            </w:r>
          </w:p>
        </w:tc>
        <w:tc>
          <w:tcPr/>
          <w:p>
            <w:pPr>
              <w:pStyle w:val="Compact"/>
            </w:pPr>
            <w:r>
              <w:t xml:space="preserve">2 µm (≈ 9.4 px)</w:t>
            </w:r>
          </w:p>
        </w:tc>
        <w:tc>
          <w:tcPr/>
          <w:p>
            <w:pPr>
              <w:pStyle w:val="Compact"/>
            </w:pPr>
            <w:r>
              <w:t xml:space="preserve">Gaussian width for anchor density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Dirichlet posterior concentration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</w:t>
            </w: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Grey-abstain anchor count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</w:t>
            </w:r>
            <w:r>
              <w:t xml:space="preserve">sharp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tanh sharpening on competition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cut</w:t>
            </w:r>
          </w:p>
        </w:tc>
        <w:tc>
          <w:tcPr/>
          <w:p>
            <w:pPr>
              <w:pStyle w:val="Compact"/>
            </w:pPr>
            <w:r>
              <w:t xml:space="preserve">5 px (≈ 1.1 µm)</w:t>
            </w:r>
          </w:p>
        </w:tc>
        <w:tc>
          <w:tcPr/>
          <w:p>
            <w:pPr>
              <w:pStyle w:val="Compact"/>
            </w:pPr>
            <w:r>
              <w:t xml:space="preserve">Spatial smoothing of the edge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</w:t>
            </w: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Maximum 18S attenuation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qv threshold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Transcript quality score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cellprob_threshold</w:t>
            </w:r>
          </w:p>
        </w:tc>
        <w:tc>
          <w:tcPr/>
          <w:p>
            <w:pPr>
              <w:pStyle w:val="Compact"/>
            </w:pPr>
            <w:r>
              <w:t xml:space="preserve">−5.0</w:t>
            </w:r>
          </w:p>
        </w:tc>
        <w:tc>
          <w:tcPr/>
          <w:p>
            <w:pPr>
              <w:pStyle w:val="Compact"/>
            </w:pPr>
            <w:r>
              <w:t xml:space="preserve">Cellpose-SAM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flow_threshold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Cellpose-SAM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niter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Cellpose-SAM dynamics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augment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Cellpose-SAM test-time augmentation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2026-05-20T19:51:08Z</dcterms:created>
  <dcterms:modified xsi:type="dcterms:W3CDTF">2026-05-20T19:51:08Z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