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ads_oauth — Google Ads API Tool Design Document</w:t>
      </w:r>
    </w:p>
    <w:p>
      <w:pPr>
        <w:spacing w:after="160"/>
      </w:pPr>
      <w:r>
        <w:rPr>
          <w:i/>
          <w:iCs/>
          <w:color w:val="555555"/>
        </w:rPr>
        <w:t xml:space="preserve">Prepared for: Google Ads API Basic Access Application</w:t>
      </w:r>
    </w:p>
    <w:p>
      <w:pPr>
        <w:spacing w:after="160"/>
      </w:pPr>
      <w:r>
        <w:rPr>
          <w:i/>
          <w:iCs/>
          <w:color w:val="555555"/>
        </w:rPr>
        <w:t xml:space="preserve">Manager (MCC) account: 953-053-8405  •  Developer: Kort (independent developer)</w:t>
      </w:r>
    </w:p>
    <w:p>
      <w:pPr>
        <w:pStyle w:val="Heading1"/>
        <w:spacing w:after="150" w:before="300"/>
      </w:pPr>
      <w:r>
        <w:t xml:space="preserve">1. Overview</w:t>
      </w:r>
    </w:p>
    <w:p>
      <w:pPr>
        <w:spacing w:after="160"/>
      </w:pPr>
      <w:r>
        <w:t xml:space="preserve">ads_oauth is an independent, self-serve web application that lets an individual or small-business owner connect their own Google Ads account via OAuth and launch a Search campaign without needing to learn Google Ads' internal structure. It is built and operated by a single independent developer (not an agency), for use with the developer's own Manager (MCC) account.</w:t>
      </w:r>
    </w:p>
    <w:p>
      <w:pPr>
        <w:pStyle w:val="Heading1"/>
        <w:spacing w:after="150" w:before="300"/>
      </w:pPr>
      <w:r>
        <w:t xml:space="preserve">2. Business Model</w:t>
      </w:r>
    </w:p>
    <w:p>
      <w:pPr>
        <w:spacing w:after="160"/>
      </w:pPr>
      <w:r>
        <w:t xml:space="preserve">ads_oauth is not an advertising agency and does not manage client advertising budgets or payment methods. Google Ads billing remains directly between the end user and Google at all times; the tool only automates the technical setup of a campaign on the user's behalf, using credentials the user grants via standard OAuth consent.</w:t>
      </w:r>
    </w:p>
    <w:p>
      <w:pPr>
        <w:spacing w:after="160"/>
      </w:pPr>
      <w:r>
        <w:t xml:space="preserve">The tool is currently in active development and is being used internally by the developer to build, test, and refine the account-connection and campaign-creation flow before any external rollout. The longer-term plan (not yet active) is to offer it as a self-serve product to small business owners in Turkey who find Google Ads' native interface too complex to configure directly.</w:t>
      </w:r>
    </w:p>
    <w:p>
      <w:pPr>
        <w:pStyle w:val="Heading1"/>
        <w:spacing w:after="150" w:before="300"/>
      </w:pPr>
      <w:r>
        <w:t xml:space="preserve">3. Target Audience</w:t>
      </w:r>
    </w:p>
    <w:p>
      <w:pPr>
        <w:pStyle w:val="ListParagraph"/>
        <w:numPr>
          <w:ilvl w:val="0"/>
          <w:numId w:val="1"/>
        </w:numPr>
        <w:spacing w:after="80"/>
      </w:pPr>
      <w:r>
        <w:t xml:space="preserve">Current phase: internal use only, by the developer, for building and testing the integration.</w:t>
      </w:r>
    </w:p>
    <w:p>
      <w:pPr>
        <w:pStyle w:val="ListParagraph"/>
        <w:numPr>
          <w:ilvl w:val="0"/>
          <w:numId w:val="1"/>
        </w:numPr>
        <w:spacing w:after="80"/>
      </w:pPr>
      <w:r>
        <w:t xml:space="preserve">Future phase (not yet active): individual advertisers and small businesses who want to run a simple Search campaign without learning Google Ads' campaign/ad group/bidding structure.</w:t>
      </w:r>
    </w:p>
    <w:p>
      <w:pPr>
        <w:pStyle w:val="Heading1"/>
        <w:spacing w:after="150" w:before="300"/>
      </w:pPr>
      <w:r>
        <w:t xml:space="preserve">4. Product Principle — Complexity Belongs to the System, Not the User</w:t>
      </w:r>
    </w:p>
    <w:p>
      <w:pPr>
        <w:spacing w:after="160"/>
      </w:pPr>
      <w:r>
        <w:t xml:space="preserve">The core design principle of ads_oauth is that Google Ads' technical structures (Campaign, Campaign Budget, Ad Group, Ad/Asset structures, bidding strategy, criterion IDs, API-specific parameters) are never exposed directly in the user interface. The user only provides plain, human-understandable information such as:</w:t>
      </w:r>
    </w:p>
    <w:p>
      <w:pPr>
        <w:pStyle w:val="ListParagraph"/>
        <w:numPr>
          <w:ilvl w:val="0"/>
          <w:numId w:val="1"/>
        </w:numPr>
        <w:spacing w:after="80"/>
      </w:pPr>
      <w:r>
        <w:t xml:space="preserve">Website URL</w:t>
      </w:r>
    </w:p>
    <w:p>
      <w:pPr>
        <w:pStyle w:val="ListParagraph"/>
        <w:numPr>
          <w:ilvl w:val="0"/>
          <w:numId w:val="1"/>
        </w:numPr>
        <w:spacing w:after="80"/>
      </w:pPr>
      <w:r>
        <w:t xml:space="preserve">Ad headlines and descriptions</w:t>
      </w:r>
    </w:p>
    <w:p>
      <w:pPr>
        <w:pStyle w:val="ListParagraph"/>
        <w:numPr>
          <w:ilvl w:val="0"/>
          <w:numId w:val="1"/>
        </w:numPr>
        <w:spacing w:after="80"/>
      </w:pPr>
      <w:r>
        <w:t xml:space="preserve">Keywords</w:t>
      </w:r>
    </w:p>
    <w:p>
      <w:pPr>
        <w:pStyle w:val="ListParagraph"/>
        <w:numPr>
          <w:ilvl w:val="0"/>
          <w:numId w:val="1"/>
        </w:numPr>
        <w:spacing w:after="80"/>
      </w:pPr>
      <w:r>
        <w:t xml:space="preserve">Daily/total budget</w:t>
      </w:r>
    </w:p>
    <w:p>
      <w:pPr>
        <w:pStyle w:val="ListParagraph"/>
        <w:numPr>
          <w:ilvl w:val="0"/>
          <w:numId w:val="1"/>
        </w:numPr>
        <w:spacing w:after="80"/>
      </w:pPr>
      <w:r>
        <w:t xml:space="preserve">Target country, region, or city</w:t>
      </w:r>
    </w:p>
    <w:p>
      <w:pPr>
        <w:pStyle w:val="ListParagraph"/>
        <w:numPr>
          <w:ilvl w:val="0"/>
          <w:numId w:val="1"/>
        </w:numPr>
        <w:spacing w:after="80"/>
      </w:pPr>
      <w:r>
        <w:t xml:space="preserve">Basic target-audience information</w:t>
      </w:r>
    </w:p>
    <w:p>
      <w:pPr>
        <w:spacing w:after="160"/>
      </w:pPr>
      <w:r>
        <w:t xml:space="preserve">The application layer is responsible for translating this simple input into the technical objects the Google Ads API requires.</w:t>
      </w:r>
    </w:p>
    <w:p>
      <w:pPr>
        <w:pStyle w:val="Heading1"/>
        <w:spacing w:after="150" w:before="300"/>
      </w:pPr>
      <w:r>
        <w:t xml:space="preserve">5. Architecture Summary</w:t>
      </w:r>
    </w:p>
    <w:p>
      <w:pPr>
        <w:spacing w:after="160"/>
      </w:pPr>
      <w:r>
        <w:t xml:space="preserve">Backend: native PHP (no framework), MySQL/MariaDB database. Frontend: vanilla HTML/CSS/JavaScript. Third-party SDK: googleads/google-ads-php. A server-side cron job (independent of any HTTP request) handles periodic status synchronization.</w:t>
      </w:r>
    </w:p>
    <w:p>
      <w:pPr>
        <w:pStyle w:val="Heading2"/>
        <w:spacing w:after="120" w:before="250"/>
      </w:pPr>
      <w:r>
        <w:t xml:space="preserve">Layers</w:t>
      </w:r>
    </w:p>
    <w:p>
      <w:pPr>
        <w:pStyle w:val="ListParagraph"/>
        <w:numPr>
          <w:ilvl w:val="0"/>
          <w:numId w:val="1"/>
        </w:numPr>
        <w:spacing w:after="80"/>
      </w:pPr>
      <w:r>
        <w:t xml:space="preserve">api/ — HTTP entry points only; no business logic; returns JSON.</w:t>
      </w:r>
    </w:p>
    <w:p>
      <w:pPr>
        <w:pStyle w:val="ListParagraph"/>
        <w:numPr>
          <w:ilvl w:val="0"/>
          <w:numId w:val="1"/>
        </w:numPr>
        <w:spacing w:after="80"/>
      </w:pPr>
      <w:r>
        <w:t xml:space="preserve">oauth/ — Google OAuth flow (authorization URL generation, token exchange).</w:t>
      </w:r>
    </w:p>
    <w:p>
      <w:pPr>
        <w:pStyle w:val="ListParagraph"/>
        <w:numPr>
          <w:ilvl w:val="0"/>
          <w:numId w:val="1"/>
        </w:numPr>
        <w:spacing w:after="80"/>
      </w:pPr>
      <w:r>
        <w:t xml:space="preserve">baglayici/ ("connector") — thin adapter wrapping all Google Ads API calls; isolates SDK-version changes to a single layer.</w:t>
      </w:r>
    </w:p>
    <w:p>
      <w:pPr>
        <w:pStyle w:val="ListParagraph"/>
        <w:numPr>
          <w:ilvl w:val="0"/>
          <w:numId w:val="1"/>
        </w:numPr>
        <w:spacing w:after="80"/>
      </w:pPr>
      <w:r>
        <w:t xml:space="preserve">servis/ ("service") — business logic; uses the connector and OAuth layers.</w:t>
      </w:r>
    </w:p>
    <w:p>
      <w:pPr>
        <w:pStyle w:val="ListParagraph"/>
        <w:numPr>
          <w:ilvl w:val="0"/>
          <w:numId w:val="1"/>
        </w:numPr>
        <w:spacing w:after="80"/>
      </w:pPr>
      <w:r>
        <w:t xml:space="preserve">cron/ — scheduled synchronization script.</w:t>
      </w:r>
    </w:p>
    <w:p>
      <w:pPr>
        <w:pStyle w:val="ListParagraph"/>
        <w:numPr>
          <w:ilvl w:val="0"/>
          <w:numId w:val="1"/>
        </w:numPr>
        <w:spacing w:after="80"/>
      </w:pPr>
      <w:r>
        <w:t xml:space="preserve">tema/ ("theme") — presentation only, no business logic.</w:t>
      </w:r>
    </w:p>
    <w:p>
      <w:pPr>
        <w:pStyle w:val="Heading1"/>
        <w:spacing w:after="150" w:before="300"/>
      </w:pPr>
      <w:r>
        <w:t xml:space="preserve">6. OAuth Flow</w:t>
      </w:r>
    </w:p>
    <w:p>
      <w:pPr>
        <w:spacing w:after="160"/>
      </w:pPr>
      <w:r>
        <w:t xml:space="preserve">The end user initiates a standard Google OAuth 2.0 consent flow from within ads_oauth. On successful consent, the returned refresh token is encrypted at rest (never stored in plain text) and associated with the user's account record. All subsequent Google Ads API calls for that user are made using this stored, encrypted token.</w:t>
      </w:r>
    </w:p>
    <w:p>
      <w:pPr>
        <w:pStyle w:val="Heading1"/>
        <w:spacing w:after="150" w:before="300"/>
      </w:pPr>
      <w:r>
        <w:t xml:space="preserve">7. Google Ads API Capabilities Used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EFEFEF" w:val="clear"/>
          </w:tcPr>
          <w:p>
            <w:r>
              <w:rPr>
                <w:b/>
                <w:bCs/>
              </w:rPr>
              <w:t xml:space="preserve">Capability</w:t>
            </w:r>
          </w:p>
        </w:tc>
        <w:tc>
          <w:tcPr>
            <w:tcW w:type="dxa" w:w="6300"/>
            <w:shd w:fill="EFEFEF" w:val="clear"/>
          </w:tcPr>
          <w:p>
            <w:r>
              <w:rPr>
                <w:b/>
                <w:bCs/>
              </w:rPr>
              <w:t xml:space="preserve">Where it's used in ads_oauth</w:t>
            </w:r>
          </w:p>
        </w:tc>
      </w:tr>
      <w:tr>
        <w:tc>
          <w:tcPr>
            <w:tcW w:type="dxa" w:w="3200"/>
          </w:tcPr>
          <w:p>
            <w:r>
              <w:rPr>
                <w:b w:val="false"/>
                <w:bCs w:val="false"/>
              </w:rPr>
              <w:t xml:space="preserve">Account Creation</w:t>
            </w:r>
          </w:p>
        </w:tc>
        <w:tc>
          <w:tcPr>
            <w:tcW w:type="dxa" w:w="6300"/>
          </w:tcPr>
          <w:p>
            <w:r>
              <w:rPr>
                <w:b w:val="false"/>
                <w:bCs w:val="false"/>
              </w:rPr>
              <w:t xml:space="preserve">createCustomerClient is used once per new end user, to create a new Google Ads client account under the developer's manager (MCC) account, linked to that user.</w:t>
            </w:r>
          </w:p>
        </w:tc>
      </w:tr>
      <w:tr>
        <w:tc>
          <w:tcPr>
            <w:tcW w:type="dxa" w:w="3200"/>
          </w:tcPr>
          <w:p>
            <w:r>
              <w:rPr>
                <w:b w:val="false"/>
                <w:bCs w:val="false"/>
              </w:rPr>
              <w:t xml:space="preserve">Account Management</w:t>
            </w:r>
          </w:p>
        </w:tc>
        <w:tc>
          <w:tcPr>
            <w:tcW w:type="dxa" w:w="6300"/>
          </w:tcPr>
          <w:p>
            <w:r>
              <w:rPr>
                <w:b w:val="false"/>
                <w:bCs w:val="false"/>
              </w:rPr>
              <w:t xml:space="preserve">Reading basic account status/settings for the linked client account (e.g. currency, time zone, active status) to show in the user's dashboard.</w:t>
            </w:r>
          </w:p>
        </w:tc>
      </w:tr>
      <w:tr>
        <w:tc>
          <w:tcPr>
            <w:tcW w:type="dxa" w:w="3200"/>
          </w:tcPr>
          <w:p>
            <w:r>
              <w:rPr>
                <w:b w:val="false"/>
                <w:bCs w:val="false"/>
              </w:rPr>
              <w:t xml:space="preserve">Campaign Creation</w:t>
            </w:r>
          </w:p>
        </w:tc>
        <w:tc>
          <w:tcPr>
            <w:tcW w:type="dxa" w:w="6300"/>
          </w:tcPr>
          <w:p>
            <w:r>
              <w:rPr>
                <w:b w:val="false"/>
                <w:bCs w:val="false"/>
              </w:rPr>
              <w:t xml:space="preserve">Creating a CampaignBudget, Campaign (Search), AdGroup, AdGroupAd and related criteria (keywords, location, language) from the simplified inputs the user provides in the wizard.</w:t>
            </w:r>
          </w:p>
        </w:tc>
      </w:tr>
      <w:tr>
        <w:tc>
          <w:tcPr>
            <w:tcW w:type="dxa" w:w="3200"/>
          </w:tcPr>
          <w:p>
            <w:r>
              <w:rPr>
                <w:b w:val="false"/>
                <w:bCs w:val="false"/>
              </w:rPr>
              <w:t xml:space="preserve">Campaign Management</w:t>
            </w:r>
          </w:p>
        </w:tc>
        <w:tc>
          <w:tcPr>
            <w:tcW w:type="dxa" w:w="6300"/>
          </w:tcPr>
          <w:p>
            <w:r>
              <w:rPr>
                <w:b w:val="false"/>
                <w:bCs w:val="false"/>
              </w:rPr>
              <w:t xml:space="preserve">Pausing/enabling campaigns, updating budget, and periodic status sync from a server-side cron job (independent of user's browser session).</w:t>
            </w:r>
          </w:p>
        </w:tc>
      </w:tr>
      <w:tr>
        <w:tc>
          <w:tcPr>
            <w:tcW w:type="dxa" w:w="3200"/>
          </w:tcPr>
          <w:p>
            <w:r>
              <w:rPr>
                <w:b w:val="false"/>
                <w:bCs w:val="false"/>
              </w:rPr>
              <w:t xml:space="preserve">Reporting</w:t>
            </w:r>
          </w:p>
        </w:tc>
        <w:tc>
          <w:tcPr>
            <w:tcW w:type="dxa" w:w="6300"/>
          </w:tcPr>
          <w:p>
            <w:r>
              <w:rPr>
                <w:b w:val="false"/>
                <w:bCs w:val="false"/>
              </w:rPr>
              <w:t xml:space="preserve">Pulling basic performance metrics (impressions, clicks, cost, conversions) via Google Ads Query Language (GAQL) to display in a simplified dashboard.</w:t>
            </w:r>
          </w:p>
        </w:tc>
      </w:tr>
    </w:tbl>
    <w:p>
      <w:pPr>
        <w:pStyle w:val="Heading1"/>
        <w:spacing w:after="150" w:before="300"/>
      </w:pPr>
      <w:r>
        <w:t xml:space="preserve">8. Campaign Types Supported</w:t>
      </w:r>
    </w:p>
    <w:p>
      <w:pPr>
        <w:spacing w:after="160"/>
      </w:pPr>
      <w:r>
        <w:t xml:space="preserve">Search campaigns only, at this stage of development.</w:t>
      </w:r>
    </w:p>
    <w:p>
      <w:pPr>
        <w:pStyle w:val="Heading1"/>
        <w:spacing w:after="150" w:before="300"/>
      </w:pPr>
      <w:r>
        <w:t xml:space="preserve">9. Data Model (Summary)</w:t>
      </w:r>
    </w:p>
    <w:p>
      <w:pPr>
        <w:pStyle w:val="ListParagraph"/>
        <w:numPr>
          <w:ilvl w:val="0"/>
          <w:numId w:val="1"/>
        </w:numPr>
        <w:spacing w:after="80"/>
      </w:pPr>
      <w:r>
        <w:t xml:space="preserve">site_sahipleri — registered users of the system.</w:t>
      </w:r>
    </w:p>
    <w:p>
      <w:pPr>
        <w:pStyle w:val="ListParagraph"/>
        <w:numPr>
          <w:ilvl w:val="0"/>
          <w:numId w:val="1"/>
        </w:numPr>
        <w:spacing w:after="80"/>
      </w:pPr>
      <w:r>
        <w:t xml:space="preserve">baglanmis_hesaplar — mapping of each user to their connected Google Ads account, with encrypted tokens.</w:t>
      </w:r>
    </w:p>
    <w:p>
      <w:pPr>
        <w:pStyle w:val="ListParagraph"/>
        <w:numPr>
          <w:ilvl w:val="0"/>
          <w:numId w:val="1"/>
        </w:numPr>
        <w:spacing w:after="80"/>
      </w:pPr>
      <w:r>
        <w:t xml:space="preserve">kampanyalar — local record of each created campaign and its Google Ads campaign ID.</w:t>
      </w:r>
    </w:p>
    <w:p>
      <w:pPr>
        <w:pStyle w:val="ListParagraph"/>
        <w:numPr>
          <w:ilvl w:val="0"/>
          <w:numId w:val="1"/>
        </w:numPr>
        <w:spacing w:after="80"/>
      </w:pPr>
      <w:r>
        <w:t xml:space="preserve">senkron_kayitlari — log of each synchronization run (timestamp, campaign, result).</w:t>
      </w:r>
    </w:p>
    <w:p>
      <w:pPr>
        <w:pStyle w:val="ListParagraph"/>
        <w:numPr>
          <w:ilvl w:val="0"/>
          <w:numId w:val="1"/>
        </w:numPr>
        <w:spacing w:after="80"/>
      </w:pPr>
      <w:r>
        <w:t xml:space="preserve">api_hata_kayitlari — sanitized log of API exceptions (status, code, message, request ID) for debugging, with no credentials or tokens stored.</w:t>
      </w:r>
    </w:p>
    <w:p>
      <w:pPr>
        <w:pStyle w:val="Heading1"/>
        <w:spacing w:after="150" w:before="300"/>
      </w:pPr>
      <w:r>
        <w:t xml:space="preserve">10. Security &amp; Data Handling</w:t>
      </w:r>
    </w:p>
    <w:p>
      <w:pPr>
        <w:pStyle w:val="ListParagraph"/>
        <w:numPr>
          <w:ilvl w:val="0"/>
          <w:numId w:val="1"/>
        </w:numPr>
        <w:spacing w:after="80"/>
      </w:pPr>
      <w:r>
        <w:t xml:space="preserve">Refresh tokens are encrypted at rest and are never logged or displayed.</w:t>
      </w:r>
    </w:p>
    <w:p>
      <w:pPr>
        <w:pStyle w:val="ListParagraph"/>
        <w:numPr>
          <w:ilvl w:val="0"/>
          <w:numId w:val="1"/>
        </w:numPr>
        <w:spacing w:after="80"/>
      </w:pPr>
      <w:r>
        <w:t xml:space="preserve">API exception logs are sanitized: emails, tokens, client secrets/IDs, API keys, passwords and Authorization headers are redacted before any log is written.</w:t>
      </w:r>
    </w:p>
    <w:p>
      <w:pPr>
        <w:pStyle w:val="ListParagraph"/>
        <w:numPr>
          <w:ilvl w:val="0"/>
          <w:numId w:val="1"/>
        </w:numPr>
        <w:spacing w:after="80"/>
      </w:pPr>
      <w:r>
        <w:t xml:space="preserve">No advertising budget or payment credential ever passes through ads_oauth; all billing stays directly between the end user and Google.</w:t>
      </w:r>
    </w:p>
    <w:p>
      <w:pPr>
        <w:pStyle w:val="Heading1"/>
        <w:spacing w:after="150" w:before="300"/>
      </w:pPr>
      <w:r>
        <w:t xml:space="preserve">11. Current Status</w:t>
      </w:r>
    </w:p>
    <w:p>
      <w:pPr>
        <w:spacing w:after="160"/>
      </w:pPr>
      <w:r>
        <w:t xml:space="preserve">The project is in active development. Google Ads account-connection (OAuth) and the account-creation flow (createCustomerClient) have been implemented and are being tested end-to-end against the developer's own Manager account before any external users are onboarded.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2026-09-05T20:35:34.708Z</dcterms:created>
  <dcterms:modified xsi:type="dcterms:W3CDTF">2026-09-05T20:35:34.719Z</dcterms:modified>
</cp:coreProperties>
</file>

<file path=docProps/custom.xml><?xml version="1.0" encoding="utf-8"?>
<Properties xmlns="http://schemas.openxmlformats.org/officeDocument/2006/custom-properties" xmlns:vt="http://schemas.openxmlformats.org/officeDocument/2006/docPropsVTypes"/>
</file>