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Processing Agreement</w:t>
      </w:r>
    </w:p>
    <w:p>
      <w:r>
        <w:t>This Data Processing Agreement (the "DPA") is dated 1 March 2026 and is between Brightwater Example Holdings Ltd, of 14 Larkspur Quay, Port Ellison (the "Controller"), and Lattice Example Software Ltd, of 7 Copperbeam Street, Wrenford (the "Processor").</w:t>
      </w:r>
    </w:p>
    <w:p>
      <w:pPr>
        <w:pStyle w:val="Heading2"/>
      </w:pPr>
      <w:r>
        <w:t>1. Scope</w:t>
      </w:r>
    </w:p>
    <w:p>
      <w:r>
        <w:t>1.1 This DPA applies to the personal data that the Processor processes on behalf of the Controller in providing the contract management service under the Software-as-a-Service Agreement between the parties (the "Main Agreement").</w:t>
      </w:r>
    </w:p>
    <w:p>
      <w:pPr>
        <w:pStyle w:val="Heading2"/>
      </w:pPr>
      <w:r>
        <w:t>2. Duration</w:t>
      </w:r>
    </w:p>
    <w:p>
      <w:r>
        <w:t>2.1 This DPA lasts for as long as the Processor processes personal data under the Main Agreement.</w:t>
      </w:r>
    </w:p>
    <w:p>
      <w:pPr>
        <w:pStyle w:val="Heading2"/>
      </w:pPr>
      <w:r>
        <w:t>3. Processor Obligations</w:t>
      </w:r>
    </w:p>
    <w:p>
      <w:r>
        <w:t>3.1 The Processor shall process personal data only on the Controller's documented instructions, ensure that its personnel are bound by confidentiality, and implement appropriate technical and organisational security measures.</w:t>
      </w:r>
    </w:p>
    <w:p>
      <w:pPr>
        <w:pStyle w:val="Heading2"/>
      </w:pPr>
      <w:r>
        <w:t>4. Subprocessors</w:t>
      </w:r>
    </w:p>
    <w:p>
      <w:r>
        <w:t>4.1 The Controller gives the Processor general authorisation to engage subprocessors. The Processor shall notify the Controller of any intended addition or replacement of a subprocessor at least ten (10) days in advance, and the Controller may object on reasonable grounds within that period.</w:t>
      </w:r>
    </w:p>
    <w:p>
      <w:pPr>
        <w:pStyle w:val="Heading2"/>
      </w:pPr>
      <w:r>
        <w:t>5. Personal Data Breach</w:t>
      </w:r>
    </w:p>
    <w:p>
      <w:r>
        <w:t>5.1 The Processor shall notify the Controller without undue delay after becoming aware of a personal data breach, and shall give the Controller the information it reasonably needs to meet its own notification duties.</w:t>
      </w:r>
    </w:p>
    <w:p>
      <w:pPr>
        <w:pStyle w:val="Heading2"/>
      </w:pPr>
      <w:r>
        <w:t>6. International Transfers</w:t>
      </w:r>
    </w:p>
    <w:p>
      <w:r>
        <w:t>6.1 The Processor shall not transfer personal data outside the United Kingdom unless an appropriate transfer mechanism is in place.</w:t>
      </w:r>
    </w:p>
    <w:p>
      <w:pPr>
        <w:pStyle w:val="Heading2"/>
      </w:pPr>
      <w:r>
        <w:t>7. Audit</w:t>
      </w:r>
    </w:p>
    <w:p>
      <w:r>
        <w:t>7.1 The Processor shall make available to the Controller the information necessary to show compliance with this DPA, and shall allow audits by the Controller or its auditor once per year on thirty (30) days' notice.</w:t>
      </w:r>
    </w:p>
    <w:p>
      <w:pPr>
        <w:pStyle w:val="Heading2"/>
      </w:pPr>
      <w:r>
        <w:t>8. Return and Deletion</w:t>
      </w:r>
    </w:p>
    <w:p>
      <w:r>
        <w:t>8.1 At the end of the Main Agreement, the Processor shall delete or return all personal data, at the Controller's choice, within thirty (30) days.</w:t>
      </w:r>
    </w:p>
    <w:p>
      <w:pPr>
        <w:pStyle w:val="Heading2"/>
      </w:pPr>
      <w:r>
        <w:t>9. Liability</w:t>
      </w:r>
    </w:p>
    <w:p>
      <w:r>
        <w:t>9.1 Each party's liability under this DPA is subject to the limitations and exclusions of liability in the Main Agreement.</w:t>
      </w:r>
    </w:p>
    <w:p>
      <w:pPr>
        <w:pStyle w:val="Heading2"/>
      </w:pPr>
      <w:r>
        <w:t>10. Governing Law</w:t>
      </w:r>
    </w:p>
    <w:p>
      <w:r>
        <w:t>10.1 This DPA is governed by the laws of England and Wales.</w:t>
      </w:r>
    </w:p>
    <w:p>
      <w:r>
        <w:t>Signed for Brightwater Example Holdings Ltd: A. Example, Director. Signed for Lattice Example Software Ltd: D. Example, Director.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DEMO DOCUMENT. Fictional parties.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Lumen demo 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