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Software-as-a-Service Agreement</w:t>
      </w:r>
    </w:p>
    <w:p>
      <w:r>
        <w:t>This Software-as-a-Service Agreement (the "Agreement") is dated 15 February 2026 and is between Lattice Example Software Ltd, of 7 Copperbeam Street, Wrenford (the "Provider"), and Brightwater Example Holdings Ltd, of 14 Larkspur Quay, Port Ellison (the "Customer").</w:t>
      </w:r>
    </w:p>
    <w:p>
      <w:pPr>
        <w:pStyle w:val="Heading2"/>
      </w:pPr>
      <w:r>
        <w:t>1. The Service</w:t>
      </w:r>
    </w:p>
    <w:p>
      <w:r>
        <w:t>1.1 The Provider shall make its contract management platform (the "Service") available to the Customer's authorised users during the Subscription Term.</w:t>
      </w:r>
    </w:p>
    <w:p>
      <w:r>
        <w:t>1.2 The Provider may update the Service from time to time, provided that no update materially reduces its core functionality.</w:t>
      </w:r>
    </w:p>
    <w:p>
      <w:pPr>
        <w:pStyle w:val="Heading2"/>
      </w:pPr>
      <w:r>
        <w:t>2. Subscription Term</w:t>
      </w:r>
    </w:p>
    <w:p>
      <w:r>
        <w:t>2.1 The initial subscription term is two (2) years from the date of this Agreement (the "Subscription Term").</w:t>
      </w:r>
    </w:p>
    <w:p>
      <w:r>
        <w:t>2.2 The Subscription Term renews automatically for further periods of twelve (12) months unless either party gives at least sixty (60) days' written notice before the renewal date.</w:t>
      </w:r>
    </w:p>
    <w:p>
      <w:r>
        <w:t>2.3 Neither party may terminate this Agreement for convenience during the Subscription Term.</w:t>
      </w:r>
    </w:p>
    <w:p>
      <w:pPr>
        <w:pStyle w:val="Heading2"/>
      </w:pPr>
      <w:r>
        <w:t>3. Fees</w:t>
      </w:r>
    </w:p>
    <w:p>
      <w:r>
        <w:t>3.1 The Customer shall pay the annual subscription fees in advance, within thirty (30) days of invoice.</w:t>
      </w:r>
    </w:p>
    <w:p>
      <w:pPr>
        <w:pStyle w:val="Heading2"/>
      </w:pPr>
      <w:r>
        <w:t>4. Service Levels</w:t>
      </w:r>
    </w:p>
    <w:p>
      <w:r>
        <w:t>4.1 The Provider shall make the Service available 99.5% of the time in each calendar month, excluding scheduled maintenance.</w:t>
      </w:r>
    </w:p>
    <w:p>
      <w:r>
        <w:t>4.2 If availability falls below that level, the Customer is entitled to service credits as set out in Schedule 2. Service credits are the Customer's sole and exclusive remedy for any failure to meet the availability level.</w:t>
      </w:r>
    </w:p>
    <w:p>
      <w:pPr>
        <w:pStyle w:val="Heading2"/>
      </w:pPr>
      <w:r>
        <w:t>5. Customer Data</w:t>
      </w:r>
    </w:p>
    <w:p>
      <w:r>
        <w:t>5.1 The Customer owns all data it uploads to the Service ("Customer Data").</w:t>
      </w:r>
    </w:p>
    <w:p>
      <w:r>
        <w:t>5.2 The parties shall agree a data processing agreement, to be attached as Schedule 3, that governs the Provider's processing of personal data in Customer Data. Schedule 3 is intentionally left blank at signature.</w:t>
      </w:r>
    </w:p>
    <w:p>
      <w:pPr>
        <w:pStyle w:val="Heading2"/>
      </w:pPr>
      <w:r>
        <w:t>6. Security</w:t>
      </w:r>
    </w:p>
    <w:p>
      <w:r>
        <w:t>6.1 The Provider shall maintain appropriate technical and organisational security measures to protect Customer Data against unauthorised access.</w:t>
      </w:r>
    </w:p>
    <w:p>
      <w:pPr>
        <w:pStyle w:val="Heading2"/>
      </w:pPr>
      <w:r>
        <w:t>7. Limitation of Liability</w:t>
      </w:r>
    </w:p>
    <w:p>
      <w:r>
        <w:t>7.1 Each party's total aggregate liability under or in connection with this Agreement in any contract year shall not exceed the fees paid or payable by the Customer in the twelve (12) months before the event giving rise to the claim.</w:t>
      </w:r>
    </w:p>
    <w:p>
      <w:r>
        <w:t>7.2 Neither party is liable for any indirect or consequential loss, or for loss of profit, revenue or goodwill.</w:t>
      </w:r>
    </w:p>
    <w:p>
      <w:r>
        <w:t>7.3 The Provider shall indemnify the Customer against any third-party claim that the Service infringes that third party's intellectual property rights. This indemnity is subject to the limit in clause 7.1.</w:t>
      </w:r>
    </w:p>
    <w:p>
      <w:pPr>
        <w:pStyle w:val="Heading2"/>
      </w:pPr>
      <w:r>
        <w:t>8. Change of Control</w:t>
      </w:r>
    </w:p>
    <w:p>
      <w:r>
        <w:t>8.1 If the Provider undergoes a change of control, the Customer may terminate this Agreement by written notice within ninety (90) days after it is notified of the change of control.</w:t>
      </w:r>
    </w:p>
    <w:p>
      <w:pPr>
        <w:pStyle w:val="Heading2"/>
      </w:pPr>
      <w:r>
        <w:t>9. Assignment</w:t>
      </w:r>
    </w:p>
    <w:p>
      <w:r>
        <w:t>9.1 The Provider may assign this Agreement to an affiliate. The Customer may not assign this Agreement without the Provider's prior written consent.</w:t>
      </w:r>
    </w:p>
    <w:p>
      <w:pPr>
        <w:pStyle w:val="Heading2"/>
      </w:pPr>
      <w:r>
        <w:t>10. Governing Law</w:t>
      </w:r>
    </w:p>
    <w:p>
      <w:r>
        <w:t>10.1 This Agreement is governed by the laws of England and Wales. The courts of England and Wales have exclusive jurisdiction.</w:t>
      </w:r>
    </w:p>
    <w:p>
      <w:r>
        <w:t>Schedule 2 (Service Credits): 5% of the monthly fee for each full 1% of availability below 99.5%, up to 25% of the monthly fee.</w:t>
      </w:r>
    </w:p>
    <w:p>
      <w:r>
        <w:t>Schedule 3 (Data Processing Agreement): [blank]</w:t>
      </w:r>
    </w:p>
    <w:p>
      <w:r>
        <w:t>Signed for Lattice Example Software Ltd: D. Example, Director. Signed for Brightwater Example Holdings Ltd: A. Example, Director.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DEMO DOCUMENT. Fictional parties.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Lumen demo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