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3100"/>
            <w:tcBorders>
              <w:top w:val="none" w:color="FFFFFF" w:sz="0"/>
              <w:left w:val="none" w:color="FFFFFF" w:sz="0"/>
              <w:bottom w:val="none" w:color="FFFFFF" w:sz="0"/>
              <w:right w:val="none" w:color="FFFFFF" w:sz="0"/>
            </w:tcBorders>
          </w:tcPr>
          <w:p>
            <w:r>
              <w:drawing>
                <wp:inline distT="0" distB="0" distL="0" distR="0">
                  <wp:extent cx="1238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704850"/>
                          </a:xfrm>
                          <a:prstGeom prst="rect">
                            <a:avLst/>
                          </a:prstGeom>
                        </pic:spPr>
                      </pic:pic>
                    </a:graphicData>
                  </a:graphic>
                </wp:inline>
              </w:drawing>
            </w:r>
          </w:p>
        </w:tc>
        <w:tc>
          <w:tcPr>
            <w:tcW w:type="dxa" w:w="31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23832"/>
                <w:sz w:val="18"/>
                <w:szCs w:val="18"/>
              </w:rPr>
              <w:t xml:space="preserve">KOORDINATOR WILAYAH</w:t>
            </w:r>
          </w:p>
          <w:p>
            <w:pPr>
              <w:jc w:val="center"/>
            </w:pPr>
            <w:r>
              <w:rPr>
                <w:rFonts w:ascii="Arial" w:cs="Arial" w:eastAsia="Arial" w:hAnsi="Arial"/>
                <w:b/>
                <w:bCs/>
                <w:color w:val="123832"/>
                <w:sz w:val="18"/>
                <w:szCs w:val="18"/>
              </w:rPr>
              <w:t xml:space="preserve">KALIMANTAN TENGAH</w:t>
            </w:r>
          </w:p>
          <w:p>
            <w:pPr>
              <w:jc w:val="center"/>
            </w:pPr>
            <w:r>
              <w:rPr>
                <w:rFonts w:ascii="Arial" w:cs="Arial" w:eastAsia="Arial" w:hAnsi="Arial"/>
                <w:color w:val="4C7A85"/>
                <w:sz w:val="14"/>
                <w:szCs w:val="14"/>
              </w:rPr>
              <w:t xml:space="preserve">KAKP &amp; KAKL</w:t>
            </w:r>
          </w:p>
        </w:tc>
        <w:tc>
          <w:tcPr>
            <w:tcW w:type="dxa" w:w="3100"/>
            <w:tcBorders>
              <w:top w:val="none" w:color="FFFFFF" w:sz="0"/>
              <w:left w:val="none" w:color="FFFFFF" w:sz="0"/>
              <w:bottom w:val="none" w:color="FFFFFF" w:sz="0"/>
              <w:right w:val="none" w:color="FFFFFF" w:sz="0"/>
            </w:tcBorders>
          </w:tcPr>
          <w:p>
            <w:pPr>
              <w:jc w:val="right"/>
            </w:pPr>
            <w:r>
              <w:drawing>
                <wp:inline distT="0" distB="0" distL="0" distR="0">
                  <wp:extent cx="1524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704850"/>
                          </a:xfrm>
                          <a:prstGeom prst="rect">
                            <a:avLst/>
                          </a:prstGeom>
                        </pic:spPr>
                      </pic:pic>
                    </a:graphicData>
                  </a:graphic>
                </wp:inline>
              </w:drawing>
            </w:r>
          </w:p>
        </w:tc>
      </w:tr>
    </w:tbl>
    <w:p>
      <w:pPr>
        <w:pBdr>
          <w:bottom w:val="single" w:color="C79A3C" w:sz="12" w:space="4"/>
        </w:pBdr>
        <w:spacing w:after="200"/>
      </w:pPr>
      <w:r>
        <w:t xml:space="preserve"/>
      </w:r>
    </w:p>
    <w:p>
      <w:pPr>
        <w:spacing w:after="60" w:before="100"/>
        <w:jc w:val="center"/>
      </w:pPr>
      <w:r>
        <w:rPr>
          <w:rFonts w:ascii="Arial" w:cs="Arial" w:eastAsia="Arial" w:hAnsi="Arial"/>
          <w:b/>
          <w:bCs/>
          <w:color w:val="123832"/>
          <w:sz w:val="30"/>
          <w:szCs w:val="30"/>
        </w:rPr>
        <w:t xml:space="preserve">TANYA JAWAB AKREDITASI (FAQ)</w:t>
      </w:r>
    </w:p>
    <w:p>
      <w:pPr>
        <w:spacing w:after="300"/>
        <w:jc w:val="center"/>
      </w:pPr>
      <w:r>
        <w:rPr>
          <w:rFonts w:ascii="Arial" w:cs="Arial" w:eastAsia="Arial" w:hAnsi="Arial"/>
          <w:i/>
          <w:iCs/>
          <w:color w:val="4C7A85"/>
          <w:sz w:val="20"/>
          <w:szCs w:val="20"/>
        </w:rPr>
        <w:t xml:space="preserve">Pertanyaan yang Paling Sering Diajukan Fasyankes</w:t>
      </w:r>
    </w:p>
    <w:p>
      <w:pPr>
        <w:shd w:fill="123832" w:val="clear"/>
        <w:spacing w:after="80" w:before="240"/>
      </w:pPr>
      <w:r>
        <w:rPr>
          <w:rFonts w:ascii="Arial" w:cs="Arial" w:eastAsia="Arial" w:hAnsi="Arial"/>
          <w:b/>
          <w:bCs/>
          <w:color w:val="FFFFFF"/>
          <w:sz w:val="21"/>
          <w:szCs w:val="21"/>
        </w:rPr>
        <w:t xml:space="preserve">  1. Apa itu akreditasi fasyankes, dan mengapa penting?</w:t>
      </w:r>
    </w:p>
    <w:p>
      <w:pPr>
        <w:spacing w:after="100"/>
        <w:ind w:left="200"/>
        <w:jc w:val="both"/>
      </w:pPr>
      <w:r>
        <w:rPr>
          <w:rFonts w:ascii="Arial" w:cs="Arial" w:eastAsia="Arial" w:hAnsi="Arial"/>
          <w:sz w:val="20"/>
          <w:szCs w:val="20"/>
        </w:rPr>
        <w:t xml:space="preserve">Akreditasi adalah pengakuan formal bahwa fasilitas pelayanan kesehatan telah memenuhi standar mutu dan keselamatan pasien yang ditetapkan pemerintah. Akreditasi bukan sekadar syarat administratif, melainkan alat pembinaan untuk perbaikan mutu pelayanan yang berkesinambungan.</w:t>
      </w:r>
    </w:p>
    <w:p>
      <w:pPr>
        <w:shd w:fill="123832" w:val="clear"/>
        <w:spacing w:after="80" w:before="240"/>
      </w:pPr>
      <w:r>
        <w:rPr>
          <w:rFonts w:ascii="Arial" w:cs="Arial" w:eastAsia="Arial" w:hAnsi="Arial"/>
          <w:b/>
          <w:bCs/>
          <w:color w:val="FFFFFF"/>
          <w:sz w:val="21"/>
          <w:szCs w:val="21"/>
        </w:rPr>
        <w:t xml:space="preserve">  2. Apa perbedaan cakupan KAKP dan KAKL?</w:t>
      </w:r>
    </w:p>
    <w:p>
      <w:pPr>
        <w:spacing w:after="100"/>
        <w:ind w:left="200"/>
        <w:jc w:val="both"/>
      </w:pPr>
      <w:r>
        <w:rPr>
          <w:rFonts w:ascii="Arial" w:cs="Arial" w:eastAsia="Arial" w:hAnsi="Arial"/>
          <w:sz w:val="20"/>
          <w:szCs w:val="20"/>
        </w:rPr>
        <w:t xml:space="preserve">Komite Akreditasi Kesehatan Pratama (KAKP) menyelenggarakan akreditasi Puskesmas dan Klinik Pratama (FKTP). Komite Akreditasi Kesehatan Lanjutan (KAKL) menyelenggarakan akreditasi untuk Klinik Utama, Laboratorium Medis, dan Unit Pengelola Darah (UPD). Untuk saat ini, KAKL Korwil Kalimantan Tengah belum menangani akreditasi Rumah Sakit.</w:t>
      </w:r>
    </w:p>
    <w:p>
      <w:pPr>
        <w:shd w:fill="123832" w:val="clear"/>
        <w:spacing w:after="80" w:before="240"/>
      </w:pPr>
      <w:r>
        <w:rPr>
          <w:rFonts w:ascii="Arial" w:cs="Arial" w:eastAsia="Arial" w:hAnsi="Arial"/>
          <w:b/>
          <w:bCs/>
          <w:color w:val="FFFFFF"/>
          <w:sz w:val="21"/>
          <w:szCs w:val="21"/>
        </w:rPr>
        <w:t xml:space="preserve">  3. Fasyankes jenis apa saja yang wajib terakreditasi?</w:t>
      </w:r>
    </w:p>
    <w:p>
      <w:pPr>
        <w:spacing w:after="100"/>
        <w:ind w:left="200"/>
        <w:jc w:val="both"/>
      </w:pPr>
      <w:r>
        <w:rPr>
          <w:rFonts w:ascii="Arial" w:cs="Arial" w:eastAsia="Arial" w:hAnsi="Arial"/>
          <w:sz w:val="20"/>
          <w:szCs w:val="20"/>
        </w:rPr>
        <w:t xml:space="preserve">Puskesmas, Klinik (Pratama dan Utama), Laboratorium Kesehatan, Unit Transfusi Darah, Tempat Praktik Mandiri Dokter, dan Tempat Praktik Mandiri Dokter Gigi wajib terakreditasi sesuai Peraturan Menteri Kesehatan Nomor 34 Tahun 2022.</w:t>
      </w:r>
    </w:p>
    <w:p>
      <w:pPr>
        <w:shd w:fill="123832" w:val="clear"/>
        <w:spacing w:after="80" w:before="240"/>
      </w:pPr>
      <w:r>
        <w:rPr>
          <w:rFonts w:ascii="Arial" w:cs="Arial" w:eastAsia="Arial" w:hAnsi="Arial"/>
          <w:b/>
          <w:bCs/>
          <w:color w:val="FFFFFF"/>
          <w:sz w:val="21"/>
          <w:szCs w:val="21"/>
        </w:rPr>
        <w:t xml:space="preserve">  4. Berapa lama masa berlaku sertifikat akreditasi?</w:t>
      </w:r>
    </w:p>
    <w:p>
      <w:pPr>
        <w:spacing w:after="100"/>
        <w:ind w:left="200"/>
        <w:jc w:val="both"/>
      </w:pPr>
      <w:r>
        <w:rPr>
          <w:rFonts w:ascii="Arial" w:cs="Arial" w:eastAsia="Arial" w:hAnsi="Arial"/>
          <w:sz w:val="20"/>
          <w:szCs w:val="20"/>
        </w:rPr>
        <w:t xml:space="preserve">Sertifikat akreditasi berlaku selama 5 (lima) tahun sejak tanggal ditetapkan, setelah itu fasyankes wajib mengajukan reakreditasi.</w:t>
      </w:r>
    </w:p>
    <w:p>
      <w:pPr>
        <w:shd w:fill="123832" w:val="clear"/>
        <w:spacing w:after="80" w:before="240"/>
      </w:pPr>
      <w:r>
        <w:rPr>
          <w:rFonts w:ascii="Arial" w:cs="Arial" w:eastAsia="Arial" w:hAnsi="Arial"/>
          <w:b/>
          <w:bCs/>
          <w:color w:val="FFFFFF"/>
          <w:sz w:val="21"/>
          <w:szCs w:val="21"/>
        </w:rPr>
        <w:t xml:space="preserve">  5. Apa saja tahapan proses survei akreditasi?</w:t>
      </w:r>
    </w:p>
    <w:p>
      <w:pPr>
        <w:spacing w:after="100"/>
        <w:ind w:left="200"/>
        <w:jc w:val="both"/>
      </w:pPr>
      <w:r>
        <w:rPr>
          <w:rFonts w:ascii="Arial" w:cs="Arial" w:eastAsia="Arial" w:hAnsi="Arial"/>
          <w:sz w:val="20"/>
          <w:szCs w:val="20"/>
        </w:rPr>
        <w:t xml:space="preserve">Secara umum: (1) Pengajuan &amp; registrasi, (2) Bimbingan teknis, (3) Self-assessment, (4) Verifikasi &amp; penjadwalan, (5) Survei lapangan, (6) Penetapan status akreditasi, dan (7) Survei berkala pasca-akreditasi. Detail lengkap dapat dilihat pada bagian "Alur Survei" di website.</w:t>
      </w:r>
    </w:p>
    <w:p>
      <w:pPr>
        <w:shd w:fill="123832" w:val="clear"/>
        <w:spacing w:after="80" w:before="240"/>
      </w:pPr>
      <w:r>
        <w:rPr>
          <w:rFonts w:ascii="Arial" w:cs="Arial" w:eastAsia="Arial" w:hAnsi="Arial"/>
          <w:b/>
          <w:bCs/>
          <w:color w:val="FFFFFF"/>
          <w:sz w:val="21"/>
          <w:szCs w:val="21"/>
        </w:rPr>
        <w:t xml:space="preserve">  6. Berapa lama proses dari pengajuan hingga jadwal survei ditetapkan?</w:t>
      </w:r>
    </w:p>
    <w:p>
      <w:pPr>
        <w:spacing w:after="100"/>
        <w:ind w:left="200"/>
        <w:jc w:val="both"/>
      </w:pPr>
      <w:r>
        <w:rPr>
          <w:rFonts w:ascii="Arial" w:cs="Arial" w:eastAsia="Arial" w:hAnsi="Arial"/>
          <w:sz w:val="20"/>
          <w:szCs w:val="20"/>
        </w:rPr>
        <w:t xml:space="preserve">Durasi bervariasi tergantung kesiapan dokumen dan hasil self-assessment fasyankes. Semakin lengkap dokumen yang dilampirkan saat pengajuan, semakin cepat proses verifikasi dan penjadwalan survei dapat dilakukan.</w:t>
      </w:r>
    </w:p>
    <w:p>
      <w:pPr>
        <w:shd w:fill="123832" w:val="clear"/>
        <w:spacing w:after="80" w:before="240"/>
      </w:pPr>
      <w:r>
        <w:rPr>
          <w:rFonts w:ascii="Arial" w:cs="Arial" w:eastAsia="Arial" w:hAnsi="Arial"/>
          <w:b/>
          <w:bCs/>
          <w:color w:val="FFFFFF"/>
          <w:sz w:val="21"/>
          <w:szCs w:val="21"/>
        </w:rPr>
        <w:t xml:space="preserve">  7. Apa itu self-assessment, dan apakah wajib dilakukan sebelum survei?</w:t>
      </w:r>
    </w:p>
    <w:p>
      <w:pPr>
        <w:spacing w:after="100"/>
        <w:ind w:left="200"/>
        <w:jc w:val="both"/>
      </w:pPr>
      <w:r>
        <w:rPr>
          <w:rFonts w:ascii="Arial" w:cs="Arial" w:eastAsia="Arial" w:hAnsi="Arial"/>
          <w:sz w:val="20"/>
          <w:szCs w:val="20"/>
        </w:rPr>
        <w:t xml:space="preserve">Self-assessment adalah penilaian mandiri terhadap seluruh Bab/Standar akreditasi sebelum survei lapangan. Ini wajib dilakukan karena menjadi dasar verifikasi kesiapan fasyankes serta membantu tim menemukan dan memperbaiki kekurangan sebelum dinilai surveior. Instrumen self-assessment resmi tersedia di Pusat Unduhan website ini.</w:t>
      </w:r>
    </w:p>
    <w:p>
      <w:pPr>
        <w:shd w:fill="123832" w:val="clear"/>
        <w:spacing w:after="80" w:before="240"/>
      </w:pPr>
      <w:r>
        <w:rPr>
          <w:rFonts w:ascii="Arial" w:cs="Arial" w:eastAsia="Arial" w:hAnsi="Arial"/>
          <w:b/>
          <w:bCs/>
          <w:color w:val="FFFFFF"/>
          <w:sz w:val="21"/>
          <w:szCs w:val="21"/>
        </w:rPr>
        <w:t xml:space="preserve">  8. Apa arti status skor "TDD" dalam instrumen self-assessment?</w:t>
      </w:r>
    </w:p>
    <w:p>
      <w:pPr>
        <w:spacing w:after="100"/>
        <w:ind w:left="200"/>
        <w:jc w:val="both"/>
      </w:pPr>
      <w:r>
        <w:rPr>
          <w:rFonts w:ascii="Arial" w:cs="Arial" w:eastAsia="Arial" w:hAnsi="Arial"/>
          <w:sz w:val="20"/>
          <w:szCs w:val="20"/>
        </w:rPr>
        <w:t xml:space="preserve">TDD (Tidak Dapat Dinilai) diberikan pada Elemen Penilaian yang tidak relevan dengan jenis atau skala layanan fasyankes tertentu — misalnya elemen terkait rawat inap pada Puskesmas non-rawat inap. EP berstatus TDD dikeluarkan dari penyebut perhitungan capaian, sehingga tidak memengaruhi skor akhir secara tidak adil.</w:t>
      </w:r>
    </w:p>
    <w:p>
      <w:pPr>
        <w:shd w:fill="123832" w:val="clear"/>
        <w:spacing w:after="80" w:before="240"/>
      </w:pPr>
      <w:r>
        <w:rPr>
          <w:rFonts w:ascii="Arial" w:cs="Arial" w:eastAsia="Arial" w:hAnsi="Arial"/>
          <w:b/>
          <w:bCs/>
          <w:color w:val="FFFFFF"/>
          <w:sz w:val="21"/>
          <w:szCs w:val="21"/>
        </w:rPr>
        <w:t xml:space="preserve">  9. Berapa tingkatan kelulusan akreditasi?</w:t>
      </w:r>
    </w:p>
    <w:p>
      <w:pPr>
        <w:spacing w:after="100"/>
        <w:ind w:left="200"/>
        <w:jc w:val="both"/>
      </w:pPr>
      <w:r>
        <w:rPr>
          <w:rFonts w:ascii="Arial" w:cs="Arial" w:eastAsia="Arial" w:hAnsi="Arial"/>
          <w:sz w:val="20"/>
          <w:szCs w:val="20"/>
        </w:rPr>
        <w:t xml:space="preserve">Umumnya terdiri atas: Tidak Terakreditasi, Terakreditasi Dasar, Terakreditasi Madya, Terakreditasi Utama, dan Terakreditasi Paripurna — dengan ambang batas capaian berbeda per jenis fasyankes. Ambang batas resmi tercantum pada Panduan di masing-masing instrumen self-assessment.</w:t>
      </w:r>
    </w:p>
    <w:p>
      <w:pPr>
        <w:shd w:fill="123832" w:val="clear"/>
        <w:spacing w:after="80" w:before="240"/>
      </w:pPr>
      <w:r>
        <w:rPr>
          <w:rFonts w:ascii="Arial" w:cs="Arial" w:eastAsia="Arial" w:hAnsi="Arial"/>
          <w:b/>
          <w:bCs/>
          <w:color w:val="FFFFFF"/>
          <w:sz w:val="21"/>
          <w:szCs w:val="21"/>
        </w:rPr>
        <w:t xml:space="preserve">  10. Dokumen apa saja yang perlu disiapkan sebelum mengajukan survei?</w:t>
      </w:r>
    </w:p>
    <w:p>
      <w:pPr>
        <w:spacing w:after="100"/>
        <w:ind w:left="200"/>
        <w:jc w:val="both"/>
      </w:pPr>
      <w:r>
        <w:rPr>
          <w:rFonts w:ascii="Arial" w:cs="Arial" w:eastAsia="Arial" w:hAnsi="Arial"/>
          <w:sz w:val="20"/>
          <w:szCs w:val="20"/>
        </w:rPr>
        <w:t xml:space="preserve">Antara lain: izin operasional yang masih berlaku, SK struktur organisasi, profil fasyankes, hasil self-assessment terbaru, dan surat pernyataan kesediaan disurvei. Daftar lengkap tersedia pada Formulir Pengajuan Survei dan Checklist Kesiapan Fasyankes di Pusat Unduhan.</w:t>
      </w:r>
    </w:p>
    <w:p>
      <w:pPr>
        <w:shd w:fill="123832" w:val="clear"/>
        <w:spacing w:after="80" w:before="240"/>
      </w:pPr>
      <w:r>
        <w:rPr>
          <w:rFonts w:ascii="Arial" w:cs="Arial" w:eastAsia="Arial" w:hAnsi="Arial"/>
          <w:b/>
          <w:bCs/>
          <w:color w:val="FFFFFF"/>
          <w:sz w:val="21"/>
          <w:szCs w:val="21"/>
        </w:rPr>
        <w:t xml:space="preserve">  11. Apa yang terjadi jika fasyankes dinyatakan tidak lulus/tidak terakreditasi?</w:t>
      </w:r>
    </w:p>
    <w:p>
      <w:pPr>
        <w:spacing w:after="100"/>
        <w:ind w:left="200"/>
        <w:jc w:val="both"/>
      </w:pPr>
      <w:r>
        <w:rPr>
          <w:rFonts w:ascii="Arial" w:cs="Arial" w:eastAsia="Arial" w:hAnsi="Arial"/>
          <w:sz w:val="20"/>
          <w:szCs w:val="20"/>
        </w:rPr>
        <w:t xml:space="preserve">Fasyankes akan menerima rekomendasi perbaikan dari Korwil dan dapat mengajukan survei ulang setelah menindaklanjuti rekomendasi tersebut. Fasyankes tetap dapat beroperasi selama izin operasionalnya masih berlaku, namun status tidak terakreditasi dapat memengaruhi kerja sama dengan BPJS Kesehatan sesuai ketentuan yang berlaku.</w:t>
      </w:r>
    </w:p>
    <w:p>
      <w:pPr>
        <w:shd w:fill="123832" w:val="clear"/>
        <w:spacing w:after="80" w:before="240"/>
      </w:pPr>
      <w:r>
        <w:rPr>
          <w:rFonts w:ascii="Arial" w:cs="Arial" w:eastAsia="Arial" w:hAnsi="Arial"/>
          <w:b/>
          <w:bCs/>
          <w:color w:val="FFFFFF"/>
          <w:sz w:val="21"/>
          <w:szCs w:val="21"/>
        </w:rPr>
        <w:t xml:space="preserve">  12. Bagaimana cara mengajukan survei akreditasi ke Korwil Kalimantan Tengah?</w:t>
      </w:r>
    </w:p>
    <w:p>
      <w:pPr>
        <w:spacing w:after="100"/>
        <w:ind w:left="200"/>
        <w:jc w:val="both"/>
      </w:pPr>
      <w:r>
        <w:rPr>
          <w:rFonts w:ascii="Arial" w:cs="Arial" w:eastAsia="Arial" w:hAnsi="Arial"/>
          <w:sz w:val="20"/>
          <w:szCs w:val="20"/>
        </w:rPr>
        <w:t xml:space="preserve">Isi Formulir Pengajuan Survei Akreditasi, lampirkan dokumen sesuai checklist, lalu kirimkan ke sekretariat Korwil Kalimantan Tengah melalui kontak yang tersedia pada halaman "Ajukan Survei" di website ini.</w:t>
      </w:r>
    </w:p>
    <w:p>
      <w:pPr>
        <w:spacing w:before="320"/>
        <w:jc w:val="both"/>
      </w:pPr>
      <w:r>
        <w:rPr>
          <w:rFonts w:ascii="Arial" w:cs="Arial" w:eastAsia="Arial" w:hAnsi="Arial"/>
          <w:i/>
          <w:iCs/>
          <w:color w:val="3E4A44"/>
          <w:sz w:val="18"/>
          <w:szCs w:val="18"/>
        </w:rPr>
        <w:t xml:space="preserve">Tidak menemukan jawaban yang dicari? Hubungi sekretariat Koordinator Wilayah Kalimantan Tengah melalui kontak yang tercantum pada bagian footer website.</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72660bc754840874aa531b51f34579551ac179.png"/><Relationship Id="rId8" Type="http://schemas.openxmlformats.org/officeDocument/2006/relationships/image" Target="media/eaec05b475bbe41299024475a894c8606fae9a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2026-07-08T02:49:12.285Z</dcterms:created>
  <dcterms:modified xsi:type="dcterms:W3CDTF">2026-07-08T02:49:12.295Z</dcterms:modified>
</cp:coreProperties>
</file>

<file path=docProps/custom.xml><?xml version="1.0" encoding="utf-8"?>
<Properties xmlns="http://schemas.openxmlformats.org/officeDocument/2006/custom-properties" xmlns:vt="http://schemas.openxmlformats.org/officeDocument/2006/docPropsVTypes"/>
</file>