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3100"/>
            <w:tcBorders>
              <w:top w:val="none" w:color="FFFFFF" w:sz="0"/>
              <w:left w:val="none" w:color="FFFFFF" w:sz="0"/>
              <w:bottom w:val="none" w:color="FFFFFF" w:sz="0"/>
              <w:right w:val="none" w:color="FFFFFF" w:sz="0"/>
            </w:tcBorders>
          </w:tcPr>
          <w:p>
            <w:r>
              <w:drawing>
                <wp:inline distT="0" distB="0" distL="0" distR="0">
                  <wp:extent cx="1238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704850"/>
                          </a:xfrm>
                          <a:prstGeom prst="rect">
                            <a:avLst/>
                          </a:prstGeom>
                        </pic:spPr>
                      </pic:pic>
                    </a:graphicData>
                  </a:graphic>
                </wp:inline>
              </w:drawing>
            </w:r>
          </w:p>
        </w:tc>
        <w:tc>
          <w:tcPr>
            <w:tcW w:type="dxa" w:w="31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23832"/>
                <w:sz w:val="18"/>
                <w:szCs w:val="18"/>
              </w:rPr>
              <w:t xml:space="preserve">KOORDINATOR WILAYAH</w:t>
            </w:r>
          </w:p>
          <w:p>
            <w:pPr>
              <w:jc w:val="center"/>
            </w:pPr>
            <w:r>
              <w:rPr>
                <w:rFonts w:ascii="Arial" w:cs="Arial" w:eastAsia="Arial" w:hAnsi="Arial"/>
                <w:b/>
                <w:bCs/>
                <w:color w:val="123832"/>
                <w:sz w:val="18"/>
                <w:szCs w:val="18"/>
              </w:rPr>
              <w:t xml:space="preserve">KALIMANTAN TENGAH</w:t>
            </w:r>
          </w:p>
          <w:p>
            <w:pPr>
              <w:jc w:val="center"/>
            </w:pPr>
            <w:r>
              <w:rPr>
                <w:rFonts w:ascii="Arial" w:cs="Arial" w:eastAsia="Arial" w:hAnsi="Arial"/>
                <w:color w:val="4C7A85"/>
                <w:sz w:val="14"/>
                <w:szCs w:val="14"/>
              </w:rPr>
              <w:t xml:space="preserve">KAKP &amp; KAKL</w:t>
            </w:r>
          </w:p>
        </w:tc>
        <w:tc>
          <w:tcPr>
            <w:tcW w:type="dxa" w:w="3100"/>
            <w:tcBorders>
              <w:top w:val="none" w:color="FFFFFF" w:sz="0"/>
              <w:left w:val="none" w:color="FFFFFF" w:sz="0"/>
              <w:bottom w:val="none" w:color="FFFFFF" w:sz="0"/>
              <w:right w:val="none" w:color="FFFFFF" w:sz="0"/>
            </w:tcBorders>
          </w:tcPr>
          <w:p>
            <w:pPr>
              <w:jc w:val="right"/>
            </w:pPr>
            <w:r>
              <w:drawing>
                <wp:inline distT="0" distB="0" distL="0" distR="0">
                  <wp:extent cx="1524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704850"/>
                          </a:xfrm>
                          <a:prstGeom prst="rect">
                            <a:avLst/>
                          </a:prstGeom>
                        </pic:spPr>
                      </pic:pic>
                    </a:graphicData>
                  </a:graphic>
                </wp:inline>
              </w:drawing>
            </w:r>
          </w:p>
        </w:tc>
      </w:tr>
    </w:tbl>
    <w:p>
      <w:pPr>
        <w:pBdr>
          <w:bottom w:val="single" w:color="C79A3C" w:sz="12" w:space="4"/>
        </w:pBdr>
        <w:spacing w:after="200"/>
      </w:pPr>
      <w:r>
        <w:t xml:space="preserve"/>
      </w:r>
    </w:p>
    <w:p>
      <w:pPr>
        <w:spacing w:after="60" w:before="100"/>
        <w:jc w:val="center"/>
      </w:pPr>
      <w:r>
        <w:rPr>
          <w:rFonts w:ascii="Arial" w:cs="Arial" w:eastAsia="Arial" w:hAnsi="Arial"/>
          <w:b/>
          <w:bCs/>
          <w:color w:val="123832"/>
          <w:sz w:val="30"/>
          <w:szCs w:val="30"/>
        </w:rPr>
        <w:t xml:space="preserve">CHECKLIST KESIAPAN FASYANKES</w:t>
      </w:r>
    </w:p>
    <w:p>
      <w:pPr>
        <w:spacing w:after="220"/>
        <w:jc w:val="center"/>
      </w:pPr>
      <w:r>
        <w:rPr>
          <w:rFonts w:ascii="Arial" w:cs="Arial" w:eastAsia="Arial" w:hAnsi="Arial"/>
          <w:i/>
          <w:iCs/>
          <w:color w:val="4C7A85"/>
          <w:sz w:val="20"/>
          <w:szCs w:val="20"/>
        </w:rPr>
        <w:t xml:space="preserve">Sebelum Pengajuan Jadwal Survei Akreditasi</w:t>
      </w:r>
    </w:p>
    <w:p>
      <w:pPr>
        <w:spacing w:after="260"/>
        <w:jc w:val="both"/>
      </w:pPr>
      <w:r>
        <w:rPr>
          <w:rFonts w:ascii="Arial" w:cs="Arial" w:eastAsia="Arial" w:hAnsi="Arial"/>
          <w:sz w:val="20"/>
          <w:szCs w:val="20"/>
        </w:rPr>
        <w:t xml:space="preserve">Gunakan daftar periksa ini secara internal sebelum mengajukan jadwal survei. Tandai kolom yang sesuai untuk setiap butir. Item bertanda (*) hanya berlaku untuk jenis fasyankes tertentu — sesuaikan dengan layanan yang Bapak/Ibu selenggarakan.</w:t>
      </w:r>
    </w:p>
    <w:p>
      <w:pPr>
        <w:shd w:fill="123832" w:val="clear"/>
        <w:spacing w:after="120" w:before="260"/>
      </w:pPr>
      <w:r>
        <w:rPr>
          <w:rFonts w:ascii="Arial" w:cs="Arial" w:eastAsia="Arial" w:hAnsi="Arial"/>
          <w:b/>
          <w:bCs/>
          <w:color w:val="FFFFFF"/>
          <w:sz w:val="22"/>
          <w:szCs w:val="22"/>
        </w:rPr>
        <w:t xml:space="preserve">  1. LEGALITAS &amp; PERIZINAN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Izin Operasional fasyankes masih berlaku dan sesuai dengan jenis/kelas layanan.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Surat Izin Praktik (SIP) / Surat Tanda Registrasi (STR) seluruh tenaga medis dan tenaga kesehatan masih berlaku.</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Nomor Induk Berusaha (NIB) dan/atau dokumen perizinan berusaha sesuai OSS-RBA telah sesuai.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Dokumen pendirian/kepemilikan fasyankes (akta, SK, atau dokumen legal lain) tersedia dan sah.</w:t>
            </w:r>
          </w:p>
        </w:tc>
      </w:tr>
    </w:tbl>
    <w:p>
      <w:pPr>
        <w:shd w:fill="123832" w:val="clear"/>
        <w:spacing w:after="120" w:before="260"/>
      </w:pPr>
      <w:r>
        <w:rPr>
          <w:rFonts w:ascii="Arial" w:cs="Arial" w:eastAsia="Arial" w:hAnsi="Arial"/>
          <w:b/>
          <w:bCs/>
          <w:color w:val="FFFFFF"/>
          <w:sz w:val="22"/>
          <w:szCs w:val="22"/>
        </w:rPr>
        <w:t xml:space="preserve">  2. ORGANISASI &amp; SUMBER DAYA MANUSIA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SK Struktur Organisasi dan uraian tugas, wewenang, tanggung jawab telah ditetapkan.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SK Penanggung Jawab/Koordinator per unit pelayanan telah ditetapkan.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Data kepegawaian seluruh SDM lengkap dan diperbarui secara berkala.</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Perencanaan kebutuhan SDM sesuai jumlah dan jenis layanan telah disusun.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Bukti evaluasi kinerja SDM secara berkala tersedia.</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Program orientasi pegawai baru/alih tugas telah dilaksanakan dan terdokumentasi.</w:t>
            </w:r>
          </w:p>
        </w:tc>
      </w:tr>
    </w:tbl>
    <w:p>
      <w:pPr>
        <w:shd w:fill="123832" w:val="clear"/>
        <w:spacing w:after="120" w:before="260"/>
      </w:pPr>
      <w:r>
        <w:rPr>
          <w:rFonts w:ascii="Arial" w:cs="Arial" w:eastAsia="Arial" w:hAnsi="Arial"/>
          <w:b/>
          <w:bCs/>
          <w:color w:val="FFFFFF"/>
          <w:sz w:val="22"/>
          <w:szCs w:val="22"/>
        </w:rPr>
        <w:t xml:space="preserve">  3. SARANA, PRASARANA &amp; PERALATAN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Daftar inventaris sarana, prasarana, dan peralatan tersedia dan diperbarui.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Bukti pemeliharaan dan kalibrasi peralatan medis tersedia sesuai jadwal.</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Alat Pemadam Api Ringan (APAR) tersedia dan terpelihara, dilengkapi bukti pemeliharaan.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Penanda jalur evakuasi dan rambu keselamatan tersedia dengan jelas.</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Tanda larangan merokok terpasang di area fasyankes.</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Pengelolaan Bahan Berbahaya dan Beracun (B3) serta limbah B3 sesuai ketentuan (termasuk IPAL bila diperlukan).*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Sarana dan prasarana khusus laboratorium (reagen, alat kalibrasi, ruang penyimpanan spesimen) tersedia sesuai standar.*</w:t>
            </w:r>
          </w:p>
        </w:tc>
      </w:tr>
    </w:tbl>
    <w:p>
      <w:pPr>
        <w:shd w:fill="123832" w:val="clear"/>
        <w:spacing w:after="120" w:before="260"/>
      </w:pPr>
      <w:r>
        <w:rPr>
          <w:rFonts w:ascii="Arial" w:cs="Arial" w:eastAsia="Arial" w:hAnsi="Arial"/>
          <w:b/>
          <w:bCs/>
          <w:color w:val="FFFFFF"/>
          <w:sz w:val="22"/>
          <w:szCs w:val="22"/>
        </w:rPr>
        <w:t xml:space="preserve">  4. DOKUMEN REGULASI INTERNAL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SK dan Pedoman Tata Naskah fasyankes telah ditetapkan.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Kebijakan, pedoman/panduan, kerangka acuan, dan SOP untuk seluruh unit pelayanan telah disusun dan disahkan.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Sistem pengendalian, penataan, dan distribusi dokumen berjalan (dokumen terkini dan mudah ditelusuri).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Dokumen perencanaan (Rencana Lima Tahunan/Renstra, RUK, RPK) tersedia dan mutakhir.*</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Rekam medis pasien terselenggara sesuai ketentuan (manual atau elektronik).</w:t>
            </w:r>
          </w:p>
        </w:tc>
      </w:tr>
    </w:tbl>
    <w:p>
      <w:pPr>
        <w:shd w:fill="123832" w:val="clear"/>
        <w:spacing w:after="120" w:before="260"/>
      </w:pPr>
      <w:r>
        <w:rPr>
          <w:rFonts w:ascii="Arial" w:cs="Arial" w:eastAsia="Arial" w:hAnsi="Arial"/>
          <w:b/>
          <w:bCs/>
          <w:color w:val="FFFFFF"/>
          <w:sz w:val="22"/>
          <w:szCs w:val="22"/>
        </w:rPr>
        <w:t xml:space="preserve">  5. MUTU &amp; KESELAMATAN PASIEN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Tim/Penanggung Jawab Mutu dan Keselamatan Pasien telah dibentuk dengan SK resmi.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Program Peningkatan Mutu dan Keselamatan Pasien telah disusun dan berjalan.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Indikator mutu layanan diukur, dievaluasi, dan dilaporkan secara berkala.</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Sistem pelaporan insiden keselamatan pasien berjalan dan terdokumentasi.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Program Pencegahan dan Pengendalian Infeksi (PPI) berjalan, termasuk kebersihan tangan dan pengelolaan risiko infeksi.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Program manajemen risiko fasilitas telah disusun dan diperbarui minimal setahun sekali.</w:t>
            </w:r>
          </w:p>
        </w:tc>
      </w:tr>
    </w:tbl>
    <w:p>
      <w:pPr>
        <w:shd w:fill="123832" w:val="clear"/>
        <w:spacing w:after="120" w:before="260"/>
      </w:pPr>
      <w:r>
        <w:rPr>
          <w:rFonts w:ascii="Arial" w:cs="Arial" w:eastAsia="Arial" w:hAnsi="Arial"/>
          <w:b/>
          <w:bCs/>
          <w:color w:val="FFFFFF"/>
          <w:sz w:val="22"/>
          <w:szCs w:val="22"/>
        </w:rPr>
        <w:t xml:space="preserve">  6. SELF-ASSESSMENT &amp; KESIAPAN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Self-assessment telah dilakukan pada seluruh Bab/Standar sesuai instrumen resmi.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Rekap skor self-assessment per Bab telah dihitung dan didokumentasikan.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Bukti dokumen pendukung untuk setiap Elemen Penilaian telah disiapkan dan mudah ditelusuri saat survei.</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Rencana tindak lanjut atas Elemen Penilaian yang belum terpenuhi penuh telah disusun.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rFonts w:ascii="Arial" w:cs="Arial" w:eastAsia="Arial" w:hAnsi="Arial"/>
                <w:sz w:val="24"/>
                <w:szCs w:val="24"/>
              </w:rPr>
              <w:t xml:space="preserve">☐</w:t>
            </w:r>
          </w:p>
        </w:tc>
        <w:tc>
          <w:tcPr>
            <w:tcW w:type="dxa" w:w="865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r>
              <w:rPr>
                <w:rFonts w:ascii="Arial" w:cs="Arial" w:eastAsia="Arial" w:hAnsi="Arial"/>
                <w:sz w:val="20"/>
                <w:szCs w:val="20"/>
              </w:rPr>
              <w:t xml:space="preserve">Jajaran pimpinan dan staf memahami alur serta jadwal pelaksanaan survei akreditasi.</w:t>
            </w:r>
          </w:p>
        </w:tc>
      </w:tr>
    </w:tbl>
    <w:p>
      <w:pPr>
        <w:spacing w:before="300"/>
        <w:jc w:val="both"/>
      </w:pPr>
      <w:r>
        <w:rPr>
          <w:rFonts w:ascii="Arial" w:cs="Arial" w:eastAsia="Arial" w:hAnsi="Arial"/>
          <w:i/>
          <w:iCs/>
          <w:color w:val="3E4A44"/>
          <w:sz w:val="18"/>
          <w:szCs w:val="18"/>
        </w:rPr>
        <w:t xml:space="preserve">Catatan: Checklist ini bersifat umum untuk seluruh jenis FKTP dan FKTL yang berada dalam kewenangan Koordinator Wilayah Kalimantan Tengah (Puskesmas, Klinik Pratama, Klinik Utama, dan Laboratorium Kesehatan Masyarakat). Untuk penilaian rinci per Elemen Penilaian, gunakan Instrumen Self-Assessment resmi yang tersedia pada Pusat Unduhan website.</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72660bc754840874aa531b51f34579551ac179.png"/><Relationship Id="rId8" Type="http://schemas.openxmlformats.org/officeDocument/2006/relationships/image" Target="media/eaec05b475bbe41299024475a894c8606fae9a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2026-07-08T02:36:26.520Z</dcterms:created>
  <dcterms:modified xsi:type="dcterms:W3CDTF">2026-07-08T02:36:26.520Z</dcterms:modified>
</cp:coreProperties>
</file>

<file path=docProps/custom.xml><?xml version="1.0" encoding="utf-8"?>
<Properties xmlns="http://schemas.openxmlformats.org/officeDocument/2006/custom-properties" xmlns:vt="http://schemas.openxmlformats.org/officeDocument/2006/docPropsVTypes"/>
</file>