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AGREEMENT</w:t>
      </w:r>
    </w:p>
    <w:p>
      <w:r>
        <w:t>This Supply Agreement (the "Agreement") is entered into by and between Northbridge Semiconductor Inc. ("Buyer") and Semitech Co., Ltd. ("Supplier").</w:t>
      </w:r>
    </w:p>
    <w:p>
      <w:pPr>
        <w:pStyle w:val="Heading2"/>
      </w:pPr>
      <w:r>
        <w:t>Article 4 (Inspection)</w:t>
      </w:r>
    </w:p>
    <w:p>
      <w:r>
        <w:t>Buyer may conduct inspection without any time limit from the delivery date, and no payment obligation shall arise until Buyer issues a notice of acceptance.</w:t>
      </w:r>
    </w:p>
    <w:p>
      <w:pPr>
        <w:pStyle w:val="Heading2"/>
      </w:pPr>
      <w:r>
        <w:t>Article 5 (Liquidated Damages)</w:t>
      </w:r>
    </w:p>
    <w:p>
      <w:r>
        <w:t>If Supplier delays delivery, Supplier shall pay 2.5% of the Contract Price per day of delay. No cap shall apply to the aggregate amount of such damages.</w:t>
      </w:r>
    </w:p>
    <w:p>
      <w:pPr>
        <w:pStyle w:val="Heading2"/>
      </w:pPr>
      <w:r>
        <w:t>Article 8 (Warranty)</w:t>
      </w:r>
    </w:p>
    <w:p>
      <w:r>
        <w:t>Supplier shall repair defects free of charge without any time limit, and shall indemnify Buyer for all indirect damages and loss of profits arising from such defects.</w:t>
      </w:r>
    </w:p>
    <w:p>
      <w:pPr>
        <w:pStyle w:val="Heading2"/>
      </w:pPr>
      <w:r>
        <w:t>Article 11 (Intellectual Property)</w:t>
      </w:r>
    </w:p>
    <w:p>
      <w:r>
        <w:t>All deliverables created by Supplier in the course of this Agreement, together with Supplier's related background intellectual property, shall vest in Buyer.</w:t>
      </w:r>
    </w:p>
    <w:p>
      <w:pPr>
        <w:pStyle w:val="Heading2"/>
      </w:pPr>
      <w:r>
        <w:t>Article 14 (Termination)</w:t>
      </w:r>
    </w:p>
    <w:p>
      <w:r>
        <w:t>Buyer may terminate this Agreement for any reason upon seven (7) days written notice, and Supplier shall have no claim for costs already incurred.</w:t>
      </w:r>
    </w:p>
    <w:p>
      <w:pPr>
        <w:pStyle w:val="Heading2"/>
      </w:pPr>
      <w:r>
        <w:t>Article 19 (Governing Law and Jurisdiction)</w:t>
      </w:r>
    </w:p>
    <w:p>
      <w:r>
        <w:t>This Agreement shall be governed by the laws of the State of Delaware, and the courts located at Buyer's principal place of business shall have exclusive jurisdiction.</w:t>
      </w:r>
    </w:p>
    <w:p>
      <w:pPr>
        <w:pStyle w:val="Heading2"/>
      </w:pPr>
      <w:r>
        <w:t>Schedule A — Pricing and 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Monthly Minimum</w:t>
            </w:r>
          </w:p>
        </w:tc>
        <w:tc>
          <w:tcPr>
            <w:tcW w:type="dxa" w:w="2160"/>
          </w:tcPr>
          <w:p>
            <w:r>
              <w:t>Lead Time</w:t>
            </w:r>
          </w:p>
        </w:tc>
      </w:tr>
      <w:tr>
        <w:tc>
          <w:tcPr>
            <w:tcW w:type="dxa" w:w="2160"/>
          </w:tcPr>
          <w:p>
            <w:r>
              <w:t>SEM-A100</w:t>
            </w:r>
          </w:p>
        </w:tc>
        <w:tc>
          <w:tcPr>
            <w:tcW w:type="dxa" w:w="2160"/>
          </w:tcPr>
          <w:p>
            <w:r>
              <w:t>USD 14,200</w:t>
            </w:r>
          </w:p>
        </w:tc>
        <w:tc>
          <w:tcPr>
            <w:tcW w:type="dxa" w:w="2160"/>
          </w:tcPr>
          <w:p>
            <w:r>
              <w:t>8,000 units</w:t>
            </w:r>
          </w:p>
        </w:tc>
        <w:tc>
          <w:tcPr>
            <w:tcW w:type="dxa" w:w="2160"/>
          </w:tcPr>
          <w:p>
            <w:r>
              <w:t>21 days</w:t>
            </w:r>
          </w:p>
        </w:tc>
      </w:tr>
      <w:tr>
        <w:tc>
          <w:tcPr>
            <w:tcW w:type="dxa" w:w="2160"/>
          </w:tcPr>
          <w:p>
            <w:r>
              <w:t>SEM-B220</w:t>
            </w:r>
          </w:p>
        </w:tc>
        <w:tc>
          <w:tcPr>
            <w:tcW w:type="dxa" w:w="2160"/>
          </w:tcPr>
          <w:p>
            <w:r>
              <w:t>USD 9,800</w:t>
            </w:r>
          </w:p>
        </w:tc>
        <w:tc>
          <w:tcPr>
            <w:tcW w:type="dxa" w:w="2160"/>
          </w:tcPr>
          <w:p>
            <w:r>
              <w:t>5,000 units</w:t>
            </w:r>
          </w:p>
        </w:tc>
        <w:tc>
          <w:tcPr>
            <w:tcW w:type="dxa" w:w="2160"/>
          </w:tcPr>
          <w:p>
            <w:r>
              <w:t>28 days</w:t>
            </w:r>
          </w:p>
        </w:tc>
      </w:tr>
      <w:tr>
        <w:tc>
          <w:tcPr>
            <w:tcW w:type="dxa" w:w="2160"/>
          </w:tcPr>
          <w:p>
            <w:r>
              <w:t>SEM-C310</w:t>
            </w:r>
          </w:p>
        </w:tc>
        <w:tc>
          <w:tcPr>
            <w:tcW w:type="dxa" w:w="2160"/>
          </w:tcPr>
          <w:p>
            <w:r>
              <w:t>USD 23,500</w:t>
            </w:r>
          </w:p>
        </w:tc>
        <w:tc>
          <w:tcPr>
            <w:tcW w:type="dxa" w:w="2160"/>
          </w:tcPr>
          <w:p>
            <w:r>
              <w:t>1,200 units</w:t>
            </w:r>
          </w:p>
        </w:tc>
        <w:tc>
          <w:tcPr>
            <w:tcW w:type="dxa" w:w="2160"/>
          </w:tcPr>
          <w:p>
            <w:r>
              <w:t>35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