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A사_공급계약_2025</w:t>
      </w:r>
    </w:p>
    <w:p>
      <w:r>
        <w:t>제5조 (지연배상) 지연 1일당 계약금액의 0.2%를 배상하며 총액 상한은 계약금액의 15%로 한다. 갑의 귀책 및 불가항력에 의한 지연은 제외한다.</w:t>
      </w:r>
    </w:p>
    <w:p>
      <w:r>
        <w:t>제8조 (품질보증) 하자보수 기간은 납품 후 18개월로 한다. 간접손해 및 영업손실은 배상 범위에서 제외한다.</w:t>
      </w:r>
    </w:p>
    <w:p>
      <w:r>
        <w:t>제11조 (지식재산권) 신규 산출물은 갑에게 귀속하되 을의 배경지식재산권은 을에게 유보한다.</w:t>
      </w:r>
    </w:p>
    <w:p>
      <w:r>
        <w:t>제14조 (해지) 중대한 위반 시 30일 시정 기간 후 해지 가능하며, 해지 시 기수행분을 정산한다.</w:t>
      </w:r>
    </w:p>
    <w:p>
      <w:r>
        <w:t>제17조 (책임 상한) 총 책임은 직전 12개월 계약금액을 초과하지 아니한다.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