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B사_장기공급계약_2025</w:t>
      </w:r>
    </w:p>
    <w:p>
      <w:r>
        <w:t>제5조 (지연배상) 지연 1일당 계약금액의 0.15%, 총 상한 12%. 을의 귀책이 아닌 지연은 제외한다.</w:t>
      </w:r>
    </w:p>
    <w:p>
      <w:r>
        <w:t>제6조 (물량 약정) 갑은 연간 최소 물량 60,000개를 보장하며, 미달 시 미달분의 30%를 보상한다.</w:t>
      </w:r>
    </w:p>
    <w:p>
      <w:r>
        <w:t>제9조 (단가 조정) 원자재 지수가 직전 분기 대비 10% 이상 변동한 경우 단가를 재협상한다.</w:t>
      </w:r>
    </w:p>
    <w:p>
      <w:r>
        <w:t>제17조 (책임 상한) 총 책임은 계약금액의 100%를 초과하지 아니한다. 간접·특별손해는 제외한다.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