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C사_NDA_2026</w:t>
      </w:r>
    </w:p>
    <w:p>
      <w:r>
        <w:t>제2조 (목적) 본 계약은 공동 개발 검토 목적으로 한정한다.</w:t>
      </w:r>
    </w:p>
    <w:p>
      <w:r>
        <w:t>제4조 (비밀유지 의무) 양 당사자는 상호 대칭적으로 비밀유지 의무를 부담한다.</w:t>
      </w:r>
    </w:p>
    <w:p>
      <w:r>
        <w:t>제6조 (기간) 비밀유지 의무는 본 계약 종료 후 3년간 존속한다.</w:t>
      </w:r>
    </w:p>
    <w:p>
      <w:r>
        <w:t>제7조 (예외) 공지 사실, 독자 개발 정보, 법령상 요구되는 공개는 예외로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