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A사 분기 리뷰 (QBR) — 2026 Q2</w:t>
      </w:r>
    </w:p>
    <w:p>
      <w:r>
        <w:t>일시 2026-07-10   참석 A사 구매팀 정부장 외 2인 / 당사 김대리, 박과장, 이차장</w:t>
      </w:r>
    </w:p>
    <w:p>
      <w:pPr>
        <w:pStyle w:val="Heading2"/>
      </w:pPr>
      <w:r>
        <w:t>1. 지난 분기 약속 이행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약속 항목</w:t>
            </w:r>
          </w:p>
        </w:tc>
        <w:tc>
          <w:tcPr>
            <w:tcW w:type="dxa" w:w="2160"/>
          </w:tcPr>
          <w:p>
            <w:r>
              <w:t>목표</w:t>
            </w:r>
          </w:p>
        </w:tc>
        <w:tc>
          <w:tcPr>
            <w:tcW w:type="dxa" w:w="2160"/>
          </w:tcPr>
          <w:p>
            <w:r>
              <w:t>실적</w:t>
            </w:r>
          </w:p>
        </w:tc>
        <w:tc>
          <w:tcPr>
            <w:tcW w:type="dxa" w:w="2160"/>
          </w:tcPr>
          <w:p>
            <w:r>
              <w:t>판정</w:t>
            </w:r>
          </w:p>
        </w:tc>
      </w:tr>
      <w:tr>
        <w:tc>
          <w:tcPr>
            <w:tcW w:type="dxa" w:w="2160"/>
          </w:tcPr>
          <w:p>
            <w:r>
              <w:t>월 평균 공급량</w:t>
            </w:r>
          </w:p>
        </w:tc>
        <w:tc>
          <w:tcPr>
            <w:tcW w:type="dxa" w:w="2160"/>
          </w:tcPr>
          <w:p>
            <w:r>
              <w:t>8,000개</w:t>
            </w:r>
          </w:p>
        </w:tc>
        <w:tc>
          <w:tcPr>
            <w:tcW w:type="dxa" w:w="2160"/>
          </w:tcPr>
          <w:p>
            <w:r>
              <w:t>7,450개</w:t>
            </w:r>
          </w:p>
        </w:tc>
        <w:tc>
          <w:tcPr>
            <w:tcW w:type="dxa" w:w="2160"/>
          </w:tcPr>
          <w:p>
            <w:r>
              <w:t>미달</w:t>
            </w:r>
          </w:p>
        </w:tc>
      </w:tr>
      <w:tr>
        <w:tc>
          <w:tcPr>
            <w:tcW w:type="dxa" w:w="2160"/>
          </w:tcPr>
          <w:p>
            <w:r>
              <w:t>납기 준수율</w:t>
            </w:r>
          </w:p>
        </w:tc>
        <w:tc>
          <w:tcPr>
            <w:tcW w:type="dxa" w:w="2160"/>
          </w:tcPr>
          <w:p>
            <w:r>
              <w:t>98%</w:t>
            </w:r>
          </w:p>
        </w:tc>
        <w:tc>
          <w:tcPr>
            <w:tcW w:type="dxa" w:w="2160"/>
          </w:tcPr>
          <w:p>
            <w:r>
              <w:t>94.2%</w:t>
            </w:r>
          </w:p>
        </w:tc>
        <w:tc>
          <w:tcPr>
            <w:tcW w:type="dxa" w:w="2160"/>
          </w:tcPr>
          <w:p>
            <w:r>
              <w:t>미달</w:t>
            </w:r>
          </w:p>
        </w:tc>
      </w:tr>
      <w:tr>
        <w:tc>
          <w:tcPr>
            <w:tcW w:type="dxa" w:w="2160"/>
          </w:tcPr>
          <w:p>
            <w:r>
              <w:t>불량률</w:t>
            </w:r>
          </w:p>
        </w:tc>
        <w:tc>
          <w:tcPr>
            <w:tcW w:type="dxa" w:w="2160"/>
          </w:tcPr>
          <w:p>
            <w:r>
              <w:t>0.3% 이하</w:t>
            </w:r>
          </w:p>
        </w:tc>
        <w:tc>
          <w:tcPr>
            <w:tcW w:type="dxa" w:w="2160"/>
          </w:tcPr>
          <w:p>
            <w:r>
              <w:t>0.18%</w:t>
            </w:r>
          </w:p>
        </w:tc>
        <w:tc>
          <w:tcPr>
            <w:tcW w:type="dxa" w:w="2160"/>
          </w:tcPr>
          <w:p>
            <w:r>
              <w:t>달성</w:t>
            </w:r>
          </w:p>
        </w:tc>
      </w:tr>
      <w:tr>
        <w:tc>
          <w:tcPr>
            <w:tcW w:type="dxa" w:w="2160"/>
          </w:tcPr>
          <w:p>
            <w:r>
              <w:t>기술 지원 응답</w:t>
            </w:r>
          </w:p>
        </w:tc>
        <w:tc>
          <w:tcPr>
            <w:tcW w:type="dxa" w:w="2160"/>
          </w:tcPr>
          <w:p>
            <w:r>
              <w:t>24시간 내</w:t>
            </w:r>
          </w:p>
        </w:tc>
        <w:tc>
          <w:tcPr>
            <w:tcW w:type="dxa" w:w="2160"/>
          </w:tcPr>
          <w:p>
            <w:r>
              <w:t>평균 11시간</w:t>
            </w:r>
          </w:p>
        </w:tc>
        <w:tc>
          <w:tcPr>
            <w:tcW w:type="dxa" w:w="2160"/>
          </w:tcPr>
          <w:p>
            <w:r>
              <w:t>달성</w:t>
            </w:r>
          </w:p>
        </w:tc>
      </w:tr>
    </w:tbl>
    <w:p>
      <w:pPr>
        <w:pStyle w:val="Heading2"/>
      </w:pPr>
      <w:r>
        <w:t>2. 미달 사유</w:t>
      </w:r>
    </w:p>
    <w:p>
      <w:r>
        <w:t>공급량 미달은 5월 원자재 수급 지연에 기인. 납기 준수율은 같은 기간 3건의 지연 출하가 반영된 결과. 6월부터는 목표치를 회복했으나 분기 평균에는 반영되지 못함.</w:t>
      </w:r>
    </w:p>
    <w:p>
      <w:pPr>
        <w:pStyle w:val="Heading2"/>
      </w:pPr>
      <w:r>
        <w:t>3. 분기 거래 규모</w:t>
      </w:r>
    </w:p>
    <w:p>
      <w:r>
        <w:t>2026 Q2 매출 3억 1,700만원 (Q1 대비 4.2% 증가). 품목별 비중은 SEM-A100 68%, SEM-B220 22%, 기타 10%.</w:t>
      </w:r>
    </w:p>
    <w:p>
      <w:pPr>
        <w:pStyle w:val="Heading2"/>
      </w:pPr>
      <w:r>
        <w:t>4. 고객 요청 사항</w:t>
      </w:r>
    </w:p>
    <w:p>
      <w:pPr>
        <w:pStyle w:val="ListBullet"/>
      </w:pPr>
      <w:r>
        <w:t>월 공급량을 9,000개로 상향 검토 요청 (2026 Q4부터)</w:t>
      </w:r>
    </w:p>
    <w:p>
      <w:pPr>
        <w:pStyle w:val="ListBullet"/>
      </w:pPr>
      <w:r>
        <w:t>납기 준수율 미달 시 사전 통지 절차 마련 요청</w:t>
      </w:r>
    </w:p>
    <w:p>
      <w:pPr>
        <w:pStyle w:val="ListBullet"/>
      </w:pPr>
      <w:r>
        <w:t>차기 분기 단가 조정 논의 요청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