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경쟁사 배틀카드 — 한성마이크로</w:t>
      </w:r>
    </w:p>
    <w:p>
      <w:r>
        <w:t>작성 2026-08-20   갱신 주기 분기   담당 박과장</w:t>
      </w:r>
    </w:p>
    <w:p>
      <w:pPr>
        <w:pStyle w:val="Heading2"/>
      </w:pPr>
      <w:r>
        <w:t>상대 개요</w:t>
      </w:r>
    </w:p>
    <w:p>
      <w:r>
        <w:t>국내 2위 공급사. 자동차 전장 비중이 높고 최근 차량용 인증을 앞세워 산업용 시장으로 확장 중. 2025년 매출 3,200억원(감사보고서 기준), 인원 약 640명.</w:t>
      </w:r>
    </w:p>
    <w:p>
      <w:pPr>
        <w:pStyle w:val="Heading2"/>
      </w:pPr>
      <w:r>
        <w:t>우리가 이기는 지점</w:t>
      </w:r>
    </w:p>
    <w:p>
      <w:pPr>
        <w:pStyle w:val="ListBullet"/>
      </w:pPr>
      <w:r>
        <w:t>납기 — 우리 21일, 한성 35일 (2026년 상반기 실적 기준)</w:t>
      </w:r>
    </w:p>
    <w:p>
      <w:pPr>
        <w:pStyle w:val="ListBullet"/>
      </w:pPr>
      <w:r>
        <w:t>실장 조건 소비전력 — 자사 측정 리포트 제공 가능, 한성은 데이터시트 수치만 제시</w:t>
      </w:r>
    </w:p>
    <w:p>
      <w:pPr>
        <w:pStyle w:val="ListBullet"/>
      </w:pPr>
      <w:r>
        <w:t>단종 통지 — 우리 24개월 전 통지, 한성 12개월</w:t>
      </w:r>
    </w:p>
    <w:p>
      <w:pPr>
        <w:pStyle w:val="Heading2"/>
      </w:pPr>
      <w:r>
        <w:t>상대가 이기는 지점</w:t>
      </w:r>
    </w:p>
    <w:p>
      <w:pPr>
        <w:pStyle w:val="ListBullet"/>
      </w:pPr>
      <w:r>
        <w:t>가격 — 동급 품목 기준 한성이 8~12% 낮음 (2026년 3건 견적 비교)</w:t>
      </w:r>
    </w:p>
    <w:p>
      <w:pPr>
        <w:pStyle w:val="ListBullet"/>
      </w:pPr>
      <w:r>
        <w:t>차량용 인증 — AEC-Q100 보유, 우리는 미보유</w:t>
      </w:r>
    </w:p>
    <w:p>
      <w:pPr>
        <w:pStyle w:val="ListBullet"/>
      </w:pPr>
      <w:r>
        <w:t>국내 생산 거점 — 대응 속도에서 유리하다는 평이 있음</w:t>
      </w:r>
    </w:p>
    <w:p>
      <w:pPr>
        <w:pStyle w:val="Heading2"/>
      </w:pPr>
      <w:r>
        <w:t>상대 주장과 반박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상대 주장</w:t>
            </w:r>
          </w:p>
        </w:tc>
        <w:tc>
          <w:tcPr>
            <w:tcW w:type="dxa" w:w="2880"/>
          </w:tcPr>
          <w:p>
            <w:r>
              <w:t>사실 여부</w:t>
            </w:r>
          </w:p>
        </w:tc>
        <w:tc>
          <w:tcPr>
            <w:tcW w:type="dxa" w:w="2880"/>
          </w:tcPr>
          <w:p>
            <w:r>
              <w:t>우리 화법</w:t>
            </w:r>
          </w:p>
        </w:tc>
      </w:tr>
      <w:tr>
        <w:tc>
          <w:tcPr>
            <w:tcW w:type="dxa" w:w="2880"/>
          </w:tcPr>
          <w:p>
            <w:r>
              <w:t>단가가 12% 저렴하다</w:t>
            </w:r>
          </w:p>
        </w:tc>
        <w:tc>
          <w:tcPr>
            <w:tcW w:type="dxa" w:w="2880"/>
          </w:tcPr>
          <w:p>
            <w:r>
              <w:t>일부 사실 — 품목에 따라 8~12%</w:t>
            </w:r>
          </w:p>
        </w:tc>
        <w:tc>
          <w:tcPr>
            <w:tcW w:type="dxa" w:w="2880"/>
          </w:tcPr>
          <w:p>
            <w:r>
              <w:t>총소유비용으로 보십시오. 납기 14일 차이가 재고 부담으로 돌아옵니다.</w:t>
            </w:r>
          </w:p>
        </w:tc>
      </w:tr>
      <w:tr>
        <w:tc>
          <w:tcPr>
            <w:tcW w:type="dxa" w:w="2880"/>
          </w:tcPr>
          <w:p>
            <w:r>
              <w:t>납기 35일은 업계 표준이다</w:t>
            </w:r>
          </w:p>
        </w:tc>
        <w:tc>
          <w:tcPr>
            <w:tcW w:type="dxa" w:w="2880"/>
          </w:tcPr>
          <w:p>
            <w:r>
              <w:t>사실 아님 — 업계 평균 28일</w:t>
            </w:r>
          </w:p>
        </w:tc>
        <w:tc>
          <w:tcPr>
            <w:tcW w:type="dxa" w:w="2880"/>
          </w:tcPr>
          <w:p>
            <w:r>
              <w:t>저희 21일입니다. 라인 정지 리스크를 어디까지 감수하실지의 문제입니다.</w:t>
            </w:r>
          </w:p>
        </w:tc>
      </w:tr>
      <w:tr>
        <w:tc>
          <w:tcPr>
            <w:tcW w:type="dxa" w:w="2880"/>
          </w:tcPr>
          <w:p>
            <w:r>
              <w:t>소비전력은 데이터시트로 충분하다</w:t>
            </w:r>
          </w:p>
        </w:tc>
        <w:tc>
          <w:tcPr>
            <w:tcW w:type="dxa" w:w="2880"/>
          </w:tcPr>
          <w:p>
            <w:r>
              <w:t>판단 사항</w:t>
            </w:r>
          </w:p>
        </w:tc>
        <w:tc>
          <w:tcPr>
            <w:tcW w:type="dxa" w:w="2880"/>
          </w:tcPr>
          <w:p>
            <w:r>
              <w:t>실장 조건에서 20% 차이가 난 사례가 있습니다. 측정 리포트를 드리겠습니다.</w:t>
            </w:r>
          </w:p>
        </w:tc>
      </w:tr>
    </w:tbl>
    <w:p>
      <w:pPr>
        <w:pStyle w:val="Heading2"/>
      </w:pPr>
      <w:r>
        <w:t>확인 필요</w:t>
      </w:r>
    </w:p>
    <w:p>
      <w:r>
        <w:t>한성의 2026년 단가 정책 변경 여부, AEC-Q100 인증 취득 일정. 근거 없이 추정하지 말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