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w:hAnsi="Aptos"/>
          <w:b/>
          <w:color w:val="C58B1B"/>
          <w:sz w:val="22"/>
        </w:rPr>
        <w:t>SYSTEM GUIDE</w:t>
      </w:r>
    </w:p>
    <w:p>
      <w:pPr>
        <w:spacing w:after="40"/>
        <w:jc w:val="center"/>
      </w:pPr>
      <w:r>
        <w:rPr>
          <w:rFonts w:ascii="Aptos Display" w:hAnsi="Aptos Display"/>
          <w:b/>
          <w:color w:val="102A50"/>
          <w:sz w:val="62"/>
        </w:rPr>
        <w:t>Camy Smart</w:t>
      </w:r>
    </w:p>
    <w:p>
      <w:pPr>
        <w:spacing w:after="300"/>
        <w:jc w:val="center"/>
      </w:pPr>
      <w:r>
        <w:rPr>
          <w:rFonts w:ascii="Aptos Display" w:hAnsi="Aptos Display"/>
          <w:b/>
          <w:color w:val="2563EB"/>
          <w:sz w:val="40"/>
        </w:rPr>
        <w:t>A Company of Supun Group of Companies</w:t>
      </w:r>
    </w:p>
    <w:p>
      <w:pPr>
        <w:spacing w:after="1100"/>
        <w:jc w:val="center"/>
      </w:pPr>
      <w:r>
        <w:rPr>
          <w:rFonts w:ascii="Aptos" w:hAnsi="Aptos"/>
          <w:b w:val="0"/>
          <w:i/>
          <w:color w:val="5E6B7A"/>
          <w:sz w:val="24"/>
        </w:rPr>
        <w:t>Enterprise resource planning for retail, wholesale, inventory, finance, and operational 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8F5F3"/>
          </w:tcPr>
          <w:p>
            <w:pPr>
              <w:keepLines/>
              <w:spacing w:after="0"/>
            </w:pPr>
            <w:r>
              <w:rPr>
                <w:rFonts w:ascii="Aptos" w:hAnsi="Aptos"/>
                <w:b/>
                <w:color w:val="0F766E"/>
                <w:sz w:val="18"/>
              </w:rPr>
              <w:t xml:space="preserve">PURPOSE  </w:t>
            </w:r>
            <w:r>
              <w:rPr>
                <w:rFonts w:ascii="Aptos" w:hAnsi="Aptos"/>
                <w:b w:val="0"/>
                <w:color w:val="172033"/>
                <w:sz w:val="20"/>
              </w:rPr>
              <w:t>A practical explanation of what the system does, how its modules connect, and how staff should use and control daily business transactions.</w:t>
            </w:r>
          </w:p>
        </w:tc>
      </w:tr>
    </w:tbl>
    <w:p>
      <w:pPr>
        <w:spacing w:after="20"/>
      </w:pPr>
    </w:p>
    <w:p>
      <w:pPr>
        <w:spacing w:before="680"/>
        <w:jc w:val="center"/>
      </w:pPr>
      <w:r>
        <w:rPr>
          <w:rFonts w:ascii="Aptos" w:hAnsi="Aptos"/>
          <w:b/>
          <w:color w:val="5E6B7A"/>
          <w:sz w:val="19"/>
        </w:rPr>
        <w:t>Version 1.0  |  Prepared 24 September 2026</w:t>
      </w:r>
    </w:p>
    <w:p>
      <w:pPr>
        <w:jc w:val="center"/>
      </w:pPr>
      <w:r>
        <w:rPr>
          <w:rFonts w:ascii="Aptos" w:hAnsi="Aptos"/>
          <w:b w:val="0"/>
          <w:color w:val="5E6B7A"/>
          <w:sz w:val="18"/>
        </w:rPr>
        <w:t>Internal operating and reference document</w:t>
      </w:r>
    </w:p>
    <w:p>
      <w:r>
        <w:br w:type="page"/>
      </w:r>
    </w:p>
    <w:p>
      <w:pPr>
        <w:pStyle w:val="Heading1"/>
        <w:keepNext/>
      </w:pPr>
      <w:r>
        <w:t>1. System overview</w:t>
      </w:r>
    </w:p>
    <w:p>
      <w:r>
        <w:rPr>
          <w:rFonts w:ascii="Aptos" w:hAnsi="Aptos"/>
        </w:rPr>
        <w:t>Camy Smart is a local enterprise resource planning (ERP) system designed for an electronics retail and wholesale business. It brings sales, purchasing, stock, customer and supplier balances, accounting, reporting, approvals, and audit controls into one database-backed application.</w:t>
      </w:r>
    </w:p>
    <w:p>
      <w:r>
        <w:rPr>
          <w:rFonts w:ascii="Aptos" w:hAnsi="Aptos"/>
        </w:rPr>
        <w:t>The system is built with Laravel, Blade, Bootstrap, and MariaDB. It uses permission-controlled screens and reusable posting services so that business documents, stock movements, and accounting entries remain connected and traceable.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AF1FF"/>
          </w:tcPr>
          <w:p>
            <w:pPr>
              <w:keepLines/>
              <w:spacing w:after="0"/>
            </w:pPr>
            <w:r>
              <w:rPr>
                <w:rFonts w:ascii="Aptos" w:hAnsi="Aptos"/>
                <w:b/>
                <w:color w:val="2563EB"/>
                <w:sz w:val="18"/>
              </w:rPr>
              <w:t xml:space="preserve">CORE PRINCIPLE  </w:t>
            </w:r>
            <w:r>
              <w:rPr>
                <w:rFonts w:ascii="Aptos" w:hAnsi="Aptos"/>
                <w:b w:val="0"/>
                <w:color w:val="172033"/>
                <w:sz w:val="20"/>
              </w:rPr>
              <w:t>A transaction should be entered once, approved where required, and then reflected consistently in stock, customer or supplier balances, accounting, and management reports.</w:t>
            </w:r>
          </w:p>
        </w:tc>
      </w:tr>
    </w:tbl>
    <w:p>
      <w:pPr>
        <w:spacing w:after="20"/>
      </w:pPr>
    </w:p>
    <w:p>
      <w:pPr>
        <w:pStyle w:val="Heading2"/>
        <w:keepNext/>
      </w:pPr>
      <w:r>
        <w:t>What the system helps the company manage</w:t>
      </w:r>
    </w:p>
    <w:p>
      <w:pPr>
        <w:pStyle w:val="ListBullet"/>
      </w:pPr>
      <w:r>
        <w:rPr>
          <w:rFonts w:ascii="Aptos" w:hAnsi="Aptos"/>
        </w:rPr>
        <w:t>Retail and wholesale sales, including cash and credit transactions.</w:t>
      </w:r>
    </w:p>
    <w:p>
      <w:pPr>
        <w:pStyle w:val="ListBullet"/>
      </w:pPr>
      <w:r>
        <w:rPr>
          <w:rFonts w:ascii="Aptos" w:hAnsi="Aptos"/>
        </w:rPr>
        <w:t>Purchasing from purchase order through goods receipt and supplier settlement.</w:t>
      </w:r>
    </w:p>
    <w:p>
      <w:pPr>
        <w:pStyle w:val="ListBullet"/>
      </w:pPr>
      <w:r>
        <w:rPr>
          <w:rFonts w:ascii="Aptos" w:hAnsi="Aptos"/>
        </w:rPr>
        <w:t>Product quantities, weighted-average costs, serial numbers, transfers, counts, and adjustments.</w:t>
      </w:r>
    </w:p>
    <w:p>
      <w:pPr>
        <w:pStyle w:val="ListBullet"/>
      </w:pPr>
      <w:r>
        <w:rPr>
          <w:rFonts w:ascii="Aptos" w:hAnsi="Aptos"/>
        </w:rPr>
        <w:t>Customer receipts, allocations, advances, statements, and aging.</w:t>
      </w:r>
    </w:p>
    <w:p>
      <w:pPr>
        <w:pStyle w:val="ListBullet"/>
      </w:pPr>
      <w:r>
        <w:rPr>
          <w:rFonts w:ascii="Aptos" w:hAnsi="Aptos"/>
        </w:rPr>
        <w:t>Supplier payables, payments, advances, statements, and aging.</w:t>
      </w:r>
    </w:p>
    <w:p>
      <w:pPr>
        <w:pStyle w:val="ListBullet"/>
      </w:pPr>
      <w:r>
        <w:rPr>
          <w:rFonts w:ascii="Aptos" w:hAnsi="Aptos"/>
        </w:rPr>
        <w:t>Journals, ledgers, trial balance, financial statements, reconciliation, and management analysis.</w:t>
      </w:r>
    </w:p>
    <w:p>
      <w:pPr>
        <w:pStyle w:val="ListBullet"/>
      </w:pPr>
      <w:r>
        <w:rPr>
          <w:rFonts w:ascii="Aptos" w:hAnsi="Aptos"/>
        </w:rPr>
        <w:t>Users, roles, permissions, approvals, audit logs, backups, and release controls.</w:t>
      </w:r>
    </w:p>
    <w:p>
      <w:pPr>
        <w:pStyle w:val="Heading2"/>
        <w:keepNext/>
      </w:pPr>
      <w:r>
        <w:t>System architecture at a glance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110" w:type="dxa"/>
              <w:start w:w="130" w:type="dxa"/>
              <w:bottom w:w="110" w:type="dxa"/>
              <w:end w:w="130" w:type="dxa"/>
            </w:tcMar>
            <w:vAlign w:val="center"/>
            <w:shd w:fill="102A50"/>
          </w:tcPr>
          <w:p>
            <w:pPr>
              <w:keepLines/>
              <w:spacing w:after="0"/>
            </w:pPr>
            <w:r>
              <w:rPr>
                <w:rFonts w:ascii="Aptos" w:hAnsi="Aptos"/>
                <w:b/>
                <w:color w:val="FFFFFF"/>
                <w:sz w:val="18"/>
              </w:rPr>
              <w:t>Layer</w:t>
            </w:r>
          </w:p>
        </w:tc>
        <w:tc>
          <w:tcPr>
            <w:tcW w:type="dxa" w:w="7060"/>
            <w:tcMar>
              <w:top w:w="110" w:type="dxa"/>
              <w:start w:w="130" w:type="dxa"/>
              <w:bottom w:w="110" w:type="dxa"/>
              <w:end w:w="130" w:type="dxa"/>
            </w:tcMar>
            <w:vAlign w:val="center"/>
            <w:shd w:fill="102A50"/>
          </w:tcPr>
          <w:p>
            <w:pPr>
              <w:keepLines/>
              <w:spacing w:after="0"/>
            </w:pPr>
            <w:r>
              <w:rPr>
                <w:rFonts w:ascii="Aptos" w:hAnsi="Aptos"/>
                <w:b/>
                <w:color w:val="FFFFFF"/>
                <w:sz w:val="18"/>
              </w:rPr>
              <w:t>Technology / responsibility</w:t>
            </w:r>
          </w:p>
        </w:tc>
      </w:tr>
      <w:tr>
        <w:tc>
          <w:tcPr>
            <w:tcW w:type="dxa" w:w="2300"/>
            <w:tcMar>
              <w:top w:w="110" w:type="dxa"/>
              <w:start w:w="130" w:type="dxa"/>
              <w:bottom w:w="110" w:type="dxa"/>
              <w:end w:w="130" w:type="dxa"/>
            </w:tcMar>
            <w:vAlign w:val="center"/>
          </w:tcPr>
          <w:p>
            <w:pPr>
              <w:keepLines/>
              <w:spacing w:after="0"/>
            </w:pPr>
            <w:r>
              <w:rPr>
                <w:rFonts w:ascii="Aptos" w:hAnsi="Aptos"/>
                <w:b/>
                <w:color w:val="172033"/>
                <w:sz w:val="18"/>
              </w:rPr>
              <w:t>User interface</w:t>
            </w:r>
          </w:p>
        </w:tc>
        <w:tc>
          <w:tcPr>
            <w:tcW w:type="dxa" w:w="7060"/>
            <w:tcMar>
              <w:top w:w="110" w:type="dxa"/>
              <w:start w:w="130" w:type="dxa"/>
              <w:bottom w:w="110" w:type="dxa"/>
              <w:end w:w="130" w:type="dxa"/>
            </w:tcMar>
            <w:vAlign w:val="center"/>
          </w:tcPr>
          <w:p>
            <w:pPr>
              <w:keepLines/>
              <w:spacing w:after="0"/>
            </w:pPr>
            <w:r>
              <w:rPr>
                <w:rFonts w:ascii="Aptos" w:hAnsi="Aptos"/>
                <w:b w:val="0"/>
                <w:color w:val="172033"/>
                <w:sz w:val="18"/>
              </w:rPr>
              <w:t>Desktop-first Blade pages with Bootstrap 5, Fetch API, and Chart.js.</w:t>
            </w:r>
          </w:p>
        </w:tc>
      </w:tr>
      <w:tr>
        <w:tc>
          <w:tcPr>
            <w:tcW w:type="dxa" w:w="2300"/>
            <w:shd w:fill="F6F8FB"/>
            <w:tcMar>
              <w:top w:w="110" w:type="dxa"/>
              <w:start w:w="130" w:type="dxa"/>
              <w:bottom w:w="110" w:type="dxa"/>
              <w:end w:w="130" w:type="dxa"/>
            </w:tcMar>
            <w:vAlign w:val="center"/>
          </w:tcPr>
          <w:p>
            <w:pPr>
              <w:keepLines/>
              <w:spacing w:after="0"/>
            </w:pPr>
            <w:r>
              <w:rPr>
                <w:rFonts w:ascii="Aptos" w:hAnsi="Aptos"/>
                <w:b/>
                <w:color w:val="172033"/>
                <w:sz w:val="18"/>
              </w:rPr>
              <w:t>Application</w:t>
            </w:r>
          </w:p>
        </w:tc>
        <w:tc>
          <w:tcPr>
            <w:tcW w:type="dxa" w:w="7060"/>
            <w:shd w:fill="F6F8FB"/>
            <w:tcMar>
              <w:top w:w="110" w:type="dxa"/>
              <w:start w:w="130" w:type="dxa"/>
              <w:bottom w:w="110" w:type="dxa"/>
              <w:end w:w="130" w:type="dxa"/>
            </w:tcMar>
            <w:vAlign w:val="center"/>
          </w:tcPr>
          <w:p>
            <w:pPr>
              <w:keepLines/>
              <w:spacing w:after="0"/>
            </w:pPr>
            <w:r>
              <w:rPr>
                <w:rFonts w:ascii="Aptos" w:hAnsi="Aptos"/>
                <w:b w:val="0"/>
                <w:color w:val="172033"/>
                <w:sz w:val="18"/>
              </w:rPr>
              <w:t>Laravel controllers, validation requests, authorization middleware, and domain services.</w:t>
            </w:r>
          </w:p>
        </w:tc>
      </w:tr>
      <w:tr>
        <w:tc>
          <w:tcPr>
            <w:tcW w:type="dxa" w:w="2300"/>
            <w:tcMar>
              <w:top w:w="110" w:type="dxa"/>
              <w:start w:w="130" w:type="dxa"/>
              <w:bottom w:w="110" w:type="dxa"/>
              <w:end w:w="130" w:type="dxa"/>
            </w:tcMar>
            <w:vAlign w:val="center"/>
          </w:tcPr>
          <w:p>
            <w:pPr>
              <w:keepLines/>
              <w:spacing w:after="0"/>
            </w:pPr>
            <w:r>
              <w:rPr>
                <w:rFonts w:ascii="Aptos" w:hAnsi="Aptos"/>
                <w:b/>
                <w:color w:val="172033"/>
                <w:sz w:val="18"/>
              </w:rPr>
              <w:t>Business rules</w:t>
            </w:r>
          </w:p>
        </w:tc>
        <w:tc>
          <w:tcPr>
            <w:tcW w:type="dxa" w:w="7060"/>
            <w:tcMar>
              <w:top w:w="110" w:type="dxa"/>
              <w:start w:w="130" w:type="dxa"/>
              <w:bottom w:w="110" w:type="dxa"/>
              <w:end w:w="130" w:type="dxa"/>
            </w:tcMar>
            <w:vAlign w:val="center"/>
          </w:tcPr>
          <w:p>
            <w:pPr>
              <w:keepLines/>
              <w:spacing w:after="0"/>
            </w:pPr>
            <w:r>
              <w:rPr>
                <w:rFonts w:ascii="Aptos" w:hAnsi="Aptos"/>
                <w:b w:val="0"/>
                <w:color w:val="172033"/>
                <w:sz w:val="18"/>
              </w:rPr>
              <w:t>Posting, numbering, inventory costing, allocations, approval, and period-validation services.</w:t>
            </w:r>
          </w:p>
        </w:tc>
      </w:tr>
      <w:tr>
        <w:tc>
          <w:tcPr>
            <w:tcW w:type="dxa" w:w="2300"/>
            <w:shd w:fill="F6F8FB"/>
            <w:tcMar>
              <w:top w:w="110" w:type="dxa"/>
              <w:start w:w="130" w:type="dxa"/>
              <w:bottom w:w="110" w:type="dxa"/>
              <w:end w:w="130" w:type="dxa"/>
            </w:tcMar>
            <w:vAlign w:val="center"/>
          </w:tcPr>
          <w:p>
            <w:pPr>
              <w:keepLines/>
              <w:spacing w:after="0"/>
            </w:pPr>
            <w:r>
              <w:rPr>
                <w:rFonts w:ascii="Aptos" w:hAnsi="Aptos"/>
                <w:b/>
                <w:color w:val="172033"/>
                <w:sz w:val="18"/>
              </w:rPr>
              <w:t>Data</w:t>
            </w:r>
          </w:p>
        </w:tc>
        <w:tc>
          <w:tcPr>
            <w:tcW w:type="dxa" w:w="7060"/>
            <w:shd w:fill="F6F8FB"/>
            <w:tcMar>
              <w:top w:w="110" w:type="dxa"/>
              <w:start w:w="130" w:type="dxa"/>
              <w:bottom w:w="110" w:type="dxa"/>
              <w:end w:w="130" w:type="dxa"/>
            </w:tcMar>
            <w:vAlign w:val="center"/>
          </w:tcPr>
          <w:p>
            <w:pPr>
              <w:keepLines/>
              <w:spacing w:after="0"/>
            </w:pPr>
            <w:r>
              <w:rPr>
                <w:rFonts w:ascii="Aptos" w:hAnsi="Aptos"/>
                <w:b w:val="0"/>
                <w:color w:val="172033"/>
                <w:sz w:val="18"/>
              </w:rPr>
              <w:t>MariaDB as the system of record, with relational constraints and company-scoped records.</w:t>
            </w:r>
          </w:p>
        </w:tc>
      </w:tr>
      <w:tr>
        <w:tc>
          <w:tcPr>
            <w:tcW w:type="dxa" w:w="2300"/>
            <w:tcMar>
              <w:top w:w="110" w:type="dxa"/>
              <w:start w:w="130" w:type="dxa"/>
              <w:bottom w:w="110" w:type="dxa"/>
              <w:end w:w="130" w:type="dxa"/>
            </w:tcMar>
            <w:vAlign w:val="center"/>
          </w:tcPr>
          <w:p>
            <w:pPr>
              <w:keepLines/>
              <w:spacing w:after="0"/>
            </w:pPr>
            <w:r>
              <w:rPr>
                <w:rFonts w:ascii="Aptos" w:hAnsi="Aptos"/>
                <w:b/>
                <w:color w:val="172033"/>
                <w:sz w:val="18"/>
              </w:rPr>
              <w:t>Reporting</w:t>
            </w:r>
          </w:p>
        </w:tc>
        <w:tc>
          <w:tcPr>
            <w:tcW w:type="dxa" w:w="7060"/>
            <w:tcMar>
              <w:top w:w="110" w:type="dxa"/>
              <w:start w:w="130" w:type="dxa"/>
              <w:bottom w:w="110" w:type="dxa"/>
              <w:end w:w="130" w:type="dxa"/>
            </w:tcMar>
            <w:vAlign w:val="center"/>
          </w:tcPr>
          <w:p>
            <w:pPr>
              <w:keepLines/>
              <w:spacing w:after="0"/>
            </w:pPr>
            <w:r>
              <w:rPr>
                <w:rFonts w:ascii="Aptos" w:hAnsi="Aptos"/>
                <w:b w:val="0"/>
                <w:color w:val="172033"/>
                <w:sz w:val="18"/>
              </w:rPr>
              <w:t>Operational and financial reports derived from stock movements and posted journal lines.</w:t>
            </w:r>
          </w:p>
        </w:tc>
      </w:tr>
    </w:tbl>
    <w:p>
      <w:pPr>
        <w:spacing w:after="20"/>
      </w:pPr>
    </w:p>
    <w:p>
      <w:r>
        <w:br w:type="page"/>
      </w:r>
    </w:p>
    <w:p>
      <w:pPr>
        <w:pStyle w:val="Heading1"/>
        <w:keepNext/>
      </w:pPr>
      <w:r>
        <w:t>2. Users, access, and navigation</w:t>
      </w:r>
    </w:p>
    <w:p>
      <w:r>
        <w:rPr>
          <w:rFonts w:ascii="Aptos" w:hAnsi="Aptos"/>
        </w:rPr>
        <w:t>Every user signs in with an individual account. Access is controlled by roles and permissions, so each employee sees only the functions needed for their job. The sidebar groups work into Master Data, Sales, Purchasing, Inventory, Finance, Reports, and Administration.</w:t>
      </w:r>
    </w:p>
    <w:p>
      <w:pPr>
        <w:pStyle w:val="Heading2"/>
        <w:keepNext/>
      </w:pPr>
      <w:r>
        <w:t>Typical responsibilities</w:t>
      </w:r>
    </w:p>
    <w:tbl>
      <w:tblPr>
        <w:tblStyle w:val="TableGrid"/>
        <w:tblW w:type="dxa" w:w="9360"/>
        <w:jc w:val="left"/>
        <w:tblLayout w:type="fixed"/>
        <w:tblLook w:firstColumn="1" w:firstRow="1" w:lastColumn="0" w:lastRow="0" w:noHBand="0" w:noVBand="1" w:val="04A0"/>
        <w:tblInd w:w="120" w:type="dxa"/>
      </w:tblPr>
      <w:tblGrid>
        <w:gridCol w:w="1750"/>
        <w:gridCol w:w="4450"/>
        <w:gridCol w:w="3160"/>
      </w:tblGrid>
      <w:tr>
        <w:trPr>
          <w:tblHeader w:val="true"/>
        </w:trPr>
        <w:tc>
          <w:tcPr>
            <w:tcW w:type="dxa" w:w="1750"/>
            <w:tcMar>
              <w:top w:w="110" w:type="dxa"/>
              <w:start w:w="130" w:type="dxa"/>
              <w:bottom w:w="110" w:type="dxa"/>
              <w:end w:w="130" w:type="dxa"/>
            </w:tcMar>
            <w:vAlign w:val="center"/>
            <w:shd w:fill="102A50"/>
          </w:tcPr>
          <w:p>
            <w:pPr>
              <w:keepLines/>
              <w:spacing w:after="0"/>
            </w:pPr>
            <w:r>
              <w:rPr>
                <w:rFonts w:ascii="Aptos" w:hAnsi="Aptos"/>
                <w:b/>
                <w:color w:val="FFFFFF"/>
                <w:sz w:val="18"/>
              </w:rPr>
              <w:t>User type</w:t>
            </w:r>
          </w:p>
        </w:tc>
        <w:tc>
          <w:tcPr>
            <w:tcW w:type="dxa" w:w="4450"/>
            <w:tcMar>
              <w:top w:w="110" w:type="dxa"/>
              <w:start w:w="130" w:type="dxa"/>
              <w:bottom w:w="110" w:type="dxa"/>
              <w:end w:w="130" w:type="dxa"/>
            </w:tcMar>
            <w:vAlign w:val="center"/>
            <w:shd w:fill="102A50"/>
          </w:tcPr>
          <w:p>
            <w:pPr>
              <w:keepLines/>
              <w:spacing w:after="0"/>
            </w:pPr>
            <w:r>
              <w:rPr>
                <w:rFonts w:ascii="Aptos" w:hAnsi="Aptos"/>
                <w:b/>
                <w:color w:val="FFFFFF"/>
                <w:sz w:val="18"/>
              </w:rPr>
              <w:t>Typical activities</w:t>
            </w:r>
          </w:p>
        </w:tc>
        <w:tc>
          <w:tcPr>
            <w:tcW w:type="dxa" w:w="3160"/>
            <w:tcMar>
              <w:top w:w="110" w:type="dxa"/>
              <w:start w:w="130" w:type="dxa"/>
              <w:bottom w:w="110" w:type="dxa"/>
              <w:end w:w="130" w:type="dxa"/>
            </w:tcMar>
            <w:vAlign w:val="center"/>
            <w:shd w:fill="102A50"/>
          </w:tcPr>
          <w:p>
            <w:pPr>
              <w:keepLines/>
              <w:spacing w:after="0"/>
            </w:pPr>
            <w:r>
              <w:rPr>
                <w:rFonts w:ascii="Aptos" w:hAnsi="Aptos"/>
                <w:b/>
                <w:color w:val="FFFFFF"/>
                <w:sz w:val="18"/>
              </w:rPr>
              <w:t>Control expectation</w:t>
            </w:r>
          </w:p>
        </w:tc>
      </w:tr>
      <w:tr>
        <w:tc>
          <w:tcPr>
            <w:tcW w:type="dxa" w:w="1750"/>
            <w:tcMar>
              <w:top w:w="110" w:type="dxa"/>
              <w:start w:w="130" w:type="dxa"/>
              <w:bottom w:w="110" w:type="dxa"/>
              <w:end w:w="130" w:type="dxa"/>
            </w:tcMar>
            <w:vAlign w:val="center"/>
          </w:tcPr>
          <w:p>
            <w:pPr>
              <w:keepLines/>
              <w:spacing w:after="0"/>
            </w:pPr>
            <w:r>
              <w:rPr>
                <w:rFonts w:ascii="Aptos" w:hAnsi="Aptos"/>
                <w:b/>
                <w:color w:val="172033"/>
                <w:sz w:val="18"/>
              </w:rPr>
              <w:t>Cashier / sales user</w:t>
            </w:r>
          </w:p>
        </w:tc>
        <w:tc>
          <w:tcPr>
            <w:tcW w:type="dxa" w:w="4450"/>
            <w:tcMar>
              <w:top w:w="110" w:type="dxa"/>
              <w:start w:w="130" w:type="dxa"/>
              <w:bottom w:w="110" w:type="dxa"/>
              <w:end w:w="130" w:type="dxa"/>
            </w:tcMar>
            <w:vAlign w:val="center"/>
          </w:tcPr>
          <w:p>
            <w:pPr>
              <w:keepLines/>
              <w:spacing w:after="0"/>
            </w:pPr>
            <w:r>
              <w:rPr>
                <w:rFonts w:ascii="Aptos" w:hAnsi="Aptos"/>
                <w:b w:val="0"/>
                <w:color w:val="172033"/>
                <w:sz w:val="18"/>
              </w:rPr>
              <w:t>Open cashier session, create sales, accept payments, print invoices, and close the session.</w:t>
            </w:r>
          </w:p>
        </w:tc>
        <w:tc>
          <w:tcPr>
            <w:tcW w:type="dxa" w:w="3160"/>
            <w:tcMar>
              <w:top w:w="110" w:type="dxa"/>
              <w:start w:w="130" w:type="dxa"/>
              <w:bottom w:w="110" w:type="dxa"/>
              <w:end w:w="130" w:type="dxa"/>
            </w:tcMar>
            <w:vAlign w:val="center"/>
          </w:tcPr>
          <w:p>
            <w:pPr>
              <w:keepLines/>
              <w:spacing w:after="0"/>
            </w:pPr>
            <w:r>
              <w:rPr>
                <w:rFonts w:ascii="Aptos" w:hAnsi="Aptos"/>
                <w:b w:val="0"/>
                <w:color w:val="172033"/>
                <w:sz w:val="18"/>
              </w:rPr>
              <w:t>No accounting or security administration unless separately authorized.</w:t>
            </w:r>
          </w:p>
        </w:tc>
      </w:tr>
      <w:tr>
        <w:tc>
          <w:tcPr>
            <w:tcW w:type="dxa" w:w="1750"/>
            <w:shd w:fill="F6F8FB"/>
            <w:tcMar>
              <w:top w:w="110" w:type="dxa"/>
              <w:start w:w="130" w:type="dxa"/>
              <w:bottom w:w="110" w:type="dxa"/>
              <w:end w:w="130" w:type="dxa"/>
            </w:tcMar>
            <w:vAlign w:val="center"/>
          </w:tcPr>
          <w:p>
            <w:pPr>
              <w:keepLines/>
              <w:spacing w:after="0"/>
            </w:pPr>
            <w:r>
              <w:rPr>
                <w:rFonts w:ascii="Aptos" w:hAnsi="Aptos"/>
                <w:b/>
                <w:color w:val="172033"/>
                <w:sz w:val="18"/>
              </w:rPr>
              <w:t>Inventory user</w:t>
            </w:r>
          </w:p>
        </w:tc>
        <w:tc>
          <w:tcPr>
            <w:tcW w:type="dxa" w:w="4450"/>
            <w:shd w:fill="F6F8FB"/>
            <w:tcMar>
              <w:top w:w="110" w:type="dxa"/>
              <w:start w:w="130" w:type="dxa"/>
              <w:bottom w:w="110" w:type="dxa"/>
              <w:end w:w="130" w:type="dxa"/>
            </w:tcMar>
            <w:vAlign w:val="center"/>
          </w:tcPr>
          <w:p>
            <w:pPr>
              <w:keepLines/>
              <w:spacing w:after="0"/>
            </w:pPr>
            <w:r>
              <w:rPr>
                <w:rFonts w:ascii="Aptos" w:hAnsi="Aptos"/>
                <w:b w:val="0"/>
                <w:color w:val="172033"/>
                <w:sz w:val="18"/>
              </w:rPr>
              <w:t>Maintain products, receive stock, manage serials, transfers, counts, and adjustments.</w:t>
            </w:r>
          </w:p>
        </w:tc>
        <w:tc>
          <w:tcPr>
            <w:tcW w:type="dxa" w:w="3160"/>
            <w:shd w:fill="F6F8FB"/>
            <w:tcMar>
              <w:top w:w="110" w:type="dxa"/>
              <w:start w:w="130" w:type="dxa"/>
              <w:bottom w:w="110" w:type="dxa"/>
              <w:end w:w="130" w:type="dxa"/>
            </w:tcMar>
            <w:vAlign w:val="center"/>
          </w:tcPr>
          <w:p>
            <w:pPr>
              <w:keepLines/>
              <w:spacing w:after="0"/>
            </w:pPr>
            <w:r>
              <w:rPr>
                <w:rFonts w:ascii="Aptos" w:hAnsi="Aptos"/>
                <w:b w:val="0"/>
                <w:color w:val="172033"/>
                <w:sz w:val="18"/>
              </w:rPr>
              <w:t>Stock-changing actions require the correct inventory permission.</w:t>
            </w:r>
          </w:p>
        </w:tc>
      </w:tr>
      <w:tr>
        <w:tc>
          <w:tcPr>
            <w:tcW w:type="dxa" w:w="1750"/>
            <w:tcMar>
              <w:top w:w="110" w:type="dxa"/>
              <w:start w:w="130" w:type="dxa"/>
              <w:bottom w:w="110" w:type="dxa"/>
              <w:end w:w="130" w:type="dxa"/>
            </w:tcMar>
            <w:vAlign w:val="center"/>
          </w:tcPr>
          <w:p>
            <w:pPr>
              <w:keepLines/>
              <w:spacing w:after="0"/>
            </w:pPr>
            <w:r>
              <w:rPr>
                <w:rFonts w:ascii="Aptos" w:hAnsi="Aptos"/>
                <w:b/>
                <w:color w:val="172033"/>
                <w:sz w:val="18"/>
              </w:rPr>
              <w:t>Purchasing user</w:t>
            </w:r>
          </w:p>
        </w:tc>
        <w:tc>
          <w:tcPr>
            <w:tcW w:type="dxa" w:w="4450"/>
            <w:tcMar>
              <w:top w:w="110" w:type="dxa"/>
              <w:start w:w="130" w:type="dxa"/>
              <w:bottom w:w="110" w:type="dxa"/>
              <w:end w:w="130" w:type="dxa"/>
            </w:tcMar>
            <w:vAlign w:val="center"/>
          </w:tcPr>
          <w:p>
            <w:pPr>
              <w:keepLines/>
              <w:spacing w:after="0"/>
            </w:pPr>
            <w:r>
              <w:rPr>
                <w:rFonts w:ascii="Aptos" w:hAnsi="Aptos"/>
                <w:b w:val="0"/>
                <w:color w:val="172033"/>
                <w:sz w:val="18"/>
              </w:rPr>
              <w:t>Create purchase orders, receive goods, record direct purchases, returns, and supplier payments.</w:t>
            </w:r>
          </w:p>
        </w:tc>
        <w:tc>
          <w:tcPr>
            <w:tcW w:type="dxa" w:w="3160"/>
            <w:tcMar>
              <w:top w:w="110" w:type="dxa"/>
              <w:start w:w="130" w:type="dxa"/>
              <w:bottom w:w="110" w:type="dxa"/>
              <w:end w:w="130" w:type="dxa"/>
            </w:tcMar>
            <w:vAlign w:val="center"/>
          </w:tcPr>
          <w:p>
            <w:pPr>
              <w:keepLines/>
              <w:spacing w:after="0"/>
            </w:pPr>
            <w:r>
              <w:rPr>
                <w:rFonts w:ascii="Aptos" w:hAnsi="Aptos"/>
                <w:b w:val="0"/>
                <w:color w:val="172033"/>
                <w:sz w:val="18"/>
              </w:rPr>
              <w:t>Approvals should be separated where configured.</w:t>
            </w:r>
          </w:p>
        </w:tc>
      </w:tr>
      <w:tr>
        <w:tc>
          <w:tcPr>
            <w:tcW w:type="dxa" w:w="1750"/>
            <w:shd w:fill="F6F8FB"/>
            <w:tcMar>
              <w:top w:w="110" w:type="dxa"/>
              <w:start w:w="130" w:type="dxa"/>
              <w:bottom w:w="110" w:type="dxa"/>
              <w:end w:w="130" w:type="dxa"/>
            </w:tcMar>
            <w:vAlign w:val="center"/>
          </w:tcPr>
          <w:p>
            <w:pPr>
              <w:keepLines/>
              <w:spacing w:after="0"/>
            </w:pPr>
            <w:r>
              <w:rPr>
                <w:rFonts w:ascii="Aptos" w:hAnsi="Aptos"/>
                <w:b/>
                <w:color w:val="172033"/>
                <w:sz w:val="18"/>
              </w:rPr>
              <w:t>Accountant</w:t>
            </w:r>
          </w:p>
        </w:tc>
        <w:tc>
          <w:tcPr>
            <w:tcW w:type="dxa" w:w="4450"/>
            <w:shd w:fill="F6F8FB"/>
            <w:tcMar>
              <w:top w:w="110" w:type="dxa"/>
              <w:start w:w="130" w:type="dxa"/>
              <w:bottom w:w="110" w:type="dxa"/>
              <w:end w:w="130" w:type="dxa"/>
            </w:tcMar>
            <w:vAlign w:val="center"/>
          </w:tcPr>
          <w:p>
            <w:pPr>
              <w:keepLines/>
              <w:spacing w:after="0"/>
            </w:pPr>
            <w:r>
              <w:rPr>
                <w:rFonts w:ascii="Aptos" w:hAnsi="Aptos"/>
                <w:b w:val="0"/>
                <w:color w:val="172033"/>
                <w:sz w:val="18"/>
              </w:rPr>
              <w:t>Review ledgers, journals, receivables, payables, expenses, statements, and reconciliations.</w:t>
            </w:r>
          </w:p>
        </w:tc>
        <w:tc>
          <w:tcPr>
            <w:tcW w:type="dxa" w:w="3160"/>
            <w:shd w:fill="F6F8FB"/>
            <w:tcMar>
              <w:top w:w="110" w:type="dxa"/>
              <w:start w:w="130" w:type="dxa"/>
              <w:bottom w:w="110" w:type="dxa"/>
              <w:end w:w="130" w:type="dxa"/>
            </w:tcMar>
            <w:vAlign w:val="center"/>
          </w:tcPr>
          <w:p>
            <w:pPr>
              <w:keepLines/>
              <w:spacing w:after="0"/>
            </w:pPr>
            <w:r>
              <w:rPr>
                <w:rFonts w:ascii="Aptos" w:hAnsi="Aptos"/>
                <w:b w:val="0"/>
                <w:color w:val="172033"/>
                <w:sz w:val="18"/>
              </w:rPr>
              <w:t>Posted records are corrected by reversal, not deletion.</w:t>
            </w:r>
          </w:p>
        </w:tc>
      </w:tr>
      <w:tr>
        <w:tc>
          <w:tcPr>
            <w:tcW w:type="dxa" w:w="1750"/>
            <w:tcMar>
              <w:top w:w="110" w:type="dxa"/>
              <w:start w:w="130" w:type="dxa"/>
              <w:bottom w:w="110" w:type="dxa"/>
              <w:end w:w="130" w:type="dxa"/>
            </w:tcMar>
            <w:vAlign w:val="center"/>
          </w:tcPr>
          <w:p>
            <w:pPr>
              <w:keepLines/>
              <w:spacing w:after="0"/>
            </w:pPr>
            <w:r>
              <w:rPr>
                <w:rFonts w:ascii="Aptos" w:hAnsi="Aptos"/>
                <w:b/>
                <w:color w:val="172033"/>
                <w:sz w:val="18"/>
              </w:rPr>
              <w:t>Manager / CFO</w:t>
            </w:r>
          </w:p>
        </w:tc>
        <w:tc>
          <w:tcPr>
            <w:tcW w:type="dxa" w:w="4450"/>
            <w:tcMar>
              <w:top w:w="110" w:type="dxa"/>
              <w:start w:w="130" w:type="dxa"/>
              <w:bottom w:w="110" w:type="dxa"/>
              <w:end w:w="130" w:type="dxa"/>
            </w:tcMar>
            <w:vAlign w:val="center"/>
          </w:tcPr>
          <w:p>
            <w:pPr>
              <w:keepLines/>
              <w:spacing w:after="0"/>
            </w:pPr>
            <w:r>
              <w:rPr>
                <w:rFonts w:ascii="Aptos" w:hAnsi="Aptos"/>
                <w:b w:val="0"/>
                <w:color w:val="172033"/>
                <w:sz w:val="18"/>
              </w:rPr>
              <w:t>Review dashboards, profitability, inventory valuation, aging, and financial statements.</w:t>
            </w:r>
          </w:p>
        </w:tc>
        <w:tc>
          <w:tcPr>
            <w:tcW w:type="dxa" w:w="3160"/>
            <w:tcMar>
              <w:top w:w="110" w:type="dxa"/>
              <w:start w:w="130" w:type="dxa"/>
              <w:bottom w:w="110" w:type="dxa"/>
              <w:end w:w="130" w:type="dxa"/>
            </w:tcMar>
            <w:vAlign w:val="center"/>
          </w:tcPr>
          <w:p>
            <w:pPr>
              <w:keepLines/>
              <w:spacing w:after="0"/>
            </w:pPr>
            <w:r>
              <w:rPr>
                <w:rFonts w:ascii="Aptos" w:hAnsi="Aptos"/>
                <w:b w:val="0"/>
                <w:color w:val="172033"/>
                <w:sz w:val="18"/>
              </w:rPr>
              <w:t>Investigate exceptions and approve controlled actions.</w:t>
            </w:r>
          </w:p>
        </w:tc>
      </w:tr>
      <w:tr>
        <w:tc>
          <w:tcPr>
            <w:tcW w:type="dxa" w:w="1750"/>
            <w:shd w:fill="F6F8FB"/>
            <w:tcMar>
              <w:top w:w="110" w:type="dxa"/>
              <w:start w:w="130" w:type="dxa"/>
              <w:bottom w:w="110" w:type="dxa"/>
              <w:end w:w="130" w:type="dxa"/>
            </w:tcMar>
            <w:vAlign w:val="center"/>
          </w:tcPr>
          <w:p>
            <w:pPr>
              <w:keepLines/>
              <w:spacing w:after="0"/>
            </w:pPr>
            <w:r>
              <w:rPr>
                <w:rFonts w:ascii="Aptos" w:hAnsi="Aptos"/>
                <w:b/>
                <w:color w:val="172033"/>
                <w:sz w:val="18"/>
              </w:rPr>
              <w:t>Administrator</w:t>
            </w:r>
          </w:p>
        </w:tc>
        <w:tc>
          <w:tcPr>
            <w:tcW w:type="dxa" w:w="4450"/>
            <w:shd w:fill="F6F8FB"/>
            <w:tcMar>
              <w:top w:w="110" w:type="dxa"/>
              <w:start w:w="130" w:type="dxa"/>
              <w:bottom w:w="110" w:type="dxa"/>
              <w:end w:w="130" w:type="dxa"/>
            </w:tcMar>
            <w:vAlign w:val="center"/>
          </w:tcPr>
          <w:p>
            <w:pPr>
              <w:keepLines/>
              <w:spacing w:after="0"/>
            </w:pPr>
            <w:r>
              <w:rPr>
                <w:rFonts w:ascii="Aptos" w:hAnsi="Aptos"/>
                <w:b w:val="0"/>
                <w:color w:val="172033"/>
                <w:sz w:val="18"/>
              </w:rPr>
              <w:t>Manage users, roles, permissions, periods, audit records, backups, and system health.</w:t>
            </w:r>
          </w:p>
        </w:tc>
        <w:tc>
          <w:tcPr>
            <w:tcW w:type="dxa" w:w="3160"/>
            <w:shd w:fill="F6F8FB"/>
            <w:tcMar>
              <w:top w:w="110" w:type="dxa"/>
              <w:start w:w="130" w:type="dxa"/>
              <w:bottom w:w="110" w:type="dxa"/>
              <w:end w:w="130" w:type="dxa"/>
            </w:tcMar>
            <w:vAlign w:val="center"/>
          </w:tcPr>
          <w:p>
            <w:pPr>
              <w:keepLines/>
              <w:spacing w:after="0"/>
            </w:pPr>
            <w:r>
              <w:rPr>
                <w:rFonts w:ascii="Aptos" w:hAnsi="Aptos"/>
                <w:b w:val="0"/>
                <w:color w:val="172033"/>
                <w:sz w:val="18"/>
              </w:rPr>
              <w:t>Use least privilege and retain an audit trail.</w:t>
            </w:r>
          </w:p>
        </w:tc>
      </w:tr>
    </w:tbl>
    <w:p>
      <w:pPr>
        <w:spacing w:after="20"/>
      </w:pPr>
    </w:p>
    <w:p>
      <w:pPr>
        <w:pStyle w:val="Heading2"/>
        <w:keepNext/>
      </w:pPr>
      <w:r>
        <w:t>Sign-in and password practice</w:t>
      </w:r>
    </w:p>
    <w:p>
      <w:pPr>
        <w:pStyle w:val="ListBullet"/>
      </w:pPr>
      <w:r>
        <w:rPr>
          <w:rFonts w:ascii="Aptos" w:hAnsi="Aptos"/>
        </w:rPr>
        <w:t>Use a named account; do not share credentials between employees.</w:t>
      </w:r>
    </w:p>
    <w:p>
      <w:pPr>
        <w:pStyle w:val="ListBullet"/>
      </w:pPr>
      <w:r>
        <w:rPr>
          <w:rFonts w:ascii="Aptos" w:hAnsi="Aptos"/>
        </w:rPr>
        <w:t>Change the temporary seeded administrator password immediately.</w:t>
      </w:r>
    </w:p>
    <w:p>
      <w:pPr>
        <w:pStyle w:val="ListBullet"/>
      </w:pPr>
      <w:r>
        <w:rPr>
          <w:rFonts w:ascii="Aptos" w:hAnsi="Aptos"/>
        </w:rPr>
        <w:t>Use the Change Password screen for credential updates.</w:t>
      </w:r>
    </w:p>
    <w:p>
      <w:pPr>
        <w:pStyle w:val="ListBullet"/>
      </w:pPr>
      <w:r>
        <w:rPr>
          <w:rFonts w:ascii="Aptos" w:hAnsi="Aptos"/>
        </w:rPr>
        <w:t>Log out when leaving a shared workstation and close the cashier session at the end of a shift.</w:t>
      </w:r>
    </w:p>
    <w:p>
      <w:pPr>
        <w:pStyle w:val="ListBullet"/>
      </w:pPr>
      <w:r>
        <w:rPr>
          <w:rFonts w:ascii="Aptos" w:hAnsi="Aptos"/>
        </w:rPr>
        <w:t>Repeated failed sign-in attempts are rate-limited.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FFF7E6"/>
          </w:tcPr>
          <w:p>
            <w:pPr>
              <w:keepLines/>
              <w:spacing w:after="0"/>
            </w:pPr>
            <w:r>
              <w:rPr>
                <w:rFonts w:ascii="Aptos" w:hAnsi="Aptos"/>
                <w:b/>
                <w:color w:val="C58B1B"/>
                <w:sz w:val="18"/>
              </w:rPr>
              <w:t xml:space="preserve">SECURITY NOTE  </w:t>
            </w:r>
            <w:r>
              <w:rPr>
                <w:rFonts w:ascii="Aptos" w:hAnsi="Aptos"/>
                <w:b w:val="0"/>
                <w:color w:val="172033"/>
                <w:sz w:val="20"/>
              </w:rPr>
              <w:t>The current compatibility stack includes end-of-life PHP/Laravel components. Keep the application local and isolated until the runtime is upgraded and the production checklist is completed.</w:t>
            </w:r>
          </w:p>
        </w:tc>
      </w:tr>
    </w:tbl>
    <w:p>
      <w:pPr>
        <w:spacing w:after="20"/>
      </w:pPr>
    </w:p>
    <w:p>
      <w:r>
        <w:br w:type="page"/>
      </w:r>
    </w:p>
    <w:p>
      <w:pPr>
        <w:pStyle w:val="Heading1"/>
        <w:keepNext/>
      </w:pPr>
      <w:r>
        <w:t>3. Module guide</w:t>
      </w:r>
    </w:p>
    <w:p>
      <w:r>
        <w:rPr>
          <w:rFonts w:ascii="Aptos" w:hAnsi="Aptos"/>
        </w:rPr>
        <w:t>The modules below are connected. Master data provides the records used by transactions; transactions create operational effects; posting creates financial effects; reports summarize the resulting data.</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tcMar>
              <w:top w:w="110" w:type="dxa"/>
              <w:start w:w="130" w:type="dxa"/>
              <w:bottom w:w="110" w:type="dxa"/>
              <w:end w:w="130" w:type="dxa"/>
            </w:tcMar>
            <w:vAlign w:val="center"/>
            <w:shd w:fill="102A50"/>
          </w:tcPr>
          <w:p>
            <w:pPr>
              <w:keepLines/>
              <w:spacing w:after="0"/>
            </w:pPr>
            <w:r>
              <w:rPr>
                <w:rFonts w:ascii="Aptos" w:hAnsi="Aptos"/>
                <w:b/>
                <w:color w:val="FFFFFF"/>
                <w:sz w:val="18"/>
              </w:rPr>
              <w:t>Area</w:t>
            </w:r>
          </w:p>
        </w:tc>
        <w:tc>
          <w:tcPr>
            <w:tcW w:type="dxa" w:w="7360"/>
            <w:tcMar>
              <w:top w:w="110" w:type="dxa"/>
              <w:start w:w="130" w:type="dxa"/>
              <w:bottom w:w="110" w:type="dxa"/>
              <w:end w:w="130" w:type="dxa"/>
            </w:tcMar>
            <w:vAlign w:val="center"/>
            <w:shd w:fill="102A50"/>
          </w:tcPr>
          <w:p>
            <w:pPr>
              <w:keepLines/>
              <w:spacing w:after="0"/>
            </w:pPr>
            <w:r>
              <w:rPr>
                <w:rFonts w:ascii="Aptos" w:hAnsi="Aptos"/>
                <w:b/>
                <w:color w:val="FFFFFF"/>
                <w:sz w:val="18"/>
              </w:rPr>
              <w:t>Main capabilities</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Dashboard</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Operational overview, CFO metrics, notifications, key trends, and drill-down indicators.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Master Data</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Products, categories, brands, units, customers, suppliers, prices, and import staging.</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Sales / POS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Cash and credit sales, retail/wholesale pricing, invoices, quotations, orders, delivery notes, returns, exchanges, voids, and backdated-invoice controls.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Purchasing</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Purchase orders, confirmations, partial goods receipts, direct bill-to-invoice purchases, purchase returns, and supplier settlement.</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Inventory</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Stock ledger, weighted-average costing, serial numbers, transfers, adjustments, counts, damage handling, and reconciliation.</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Receivables</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Customer receipts, invoice allocations, advances, customer ledgers, aging, history, and Excel/PDF exports.</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Payables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Supplier invoices, payments, advances, ledgers, aging, history, print output, and Excel exports.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Accounting</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Chart of accounts, journals, general ledger, periods, trial balance, and posting validation.</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Financial statements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Profit and loss, balance sheet, indirect cash flow, and GL/subledger reconciliation.</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Management reports</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Profitability, channel and product margins, inventory valuation, stock attention, trend analysis, and exports.</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Controls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Period approval, audit logs, notifications, checksum-verified backups, and release health checks.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Administration</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Users, roles, permissions, imports, settings, numbering, and controlled access.</w:t>
            </w:r>
          </w:p>
        </w:tc>
      </w:tr>
    </w:tbl>
    <w:p>
      <w:pPr>
        <w:spacing w:after="20"/>
      </w:pPr>
    </w:p>
    <w:p>
      <w:pPr>
        <w:pStyle w:val="Heading2"/>
        <w:keepNext/>
      </w:pPr>
      <w:r>
        <w:t>Master data quality</w:t>
      </w:r>
    </w:p>
    <w:p>
      <w:r>
        <w:rPr>
          <w:rFonts w:ascii="Aptos" w:hAnsi="Aptos"/>
        </w:rPr>
        <w:t>Products, customers, suppliers, units, brands, and categories should be created before transactions are entered. Accurate codes, tax settings, prices, credit terms, and opening balances are essential because downstream invoices and reports depend on them.</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AF1FF"/>
          </w:tcPr>
          <w:p>
            <w:pPr>
              <w:keepLines/>
              <w:spacing w:after="0"/>
            </w:pPr>
            <w:r>
              <w:rPr>
                <w:rFonts w:ascii="Aptos" w:hAnsi="Aptos"/>
                <w:b/>
                <w:color w:val="2563EB"/>
                <w:sz w:val="18"/>
              </w:rPr>
              <w:t xml:space="preserve">IMPORT WORKFLOW  </w:t>
            </w:r>
            <w:r>
              <w:rPr>
                <w:rFonts w:ascii="Aptos" w:hAnsi="Aptos"/>
                <w:b w:val="0"/>
                <w:color w:val="172033"/>
                <w:sz w:val="20"/>
              </w:rPr>
              <w:t>Excel/CSV imports are staged for validation and preview. Correct or remove invalid rows, then confirm the batch. Draft import data should not affect operational balances until it is confirmed.</w:t>
            </w:r>
          </w:p>
        </w:tc>
      </w:tr>
    </w:tbl>
    <w:p>
      <w:pPr>
        <w:spacing w:after="20"/>
      </w:pPr>
    </w:p>
    <w:p>
      <w:r>
        <w:br w:type="page"/>
      </w:r>
    </w:p>
    <w:p>
      <w:pPr>
        <w:pStyle w:val="Heading1"/>
        <w:keepNext/>
      </w:pPr>
      <w:r>
        <w:t>4. Core operating workflows</w:t>
      </w:r>
    </w:p>
    <w:p>
      <w:pPr>
        <w:pStyle w:val="Heading2"/>
        <w:keepNext/>
      </w:pPr>
      <w:r>
        <w:t>Cash or credit sale</w:t>
      </w:r>
    </w:p>
    <w:p>
      <w:pPr>
        <w:pStyle w:val="ListNumber"/>
      </w:pPr>
      <w:r>
        <w:rPr>
          <w:rFonts w:ascii="Aptos" w:hAnsi="Aptos"/>
        </w:rPr>
        <w:t>Open a cashier session where required and choose the appropriate cash or credit sales screen.</w:t>
      </w:r>
    </w:p>
    <w:p>
      <w:pPr>
        <w:pStyle w:val="ListNumber"/>
      </w:pPr>
      <w:r>
        <w:rPr>
          <w:rFonts w:ascii="Aptos" w:hAnsi="Aptos"/>
        </w:rPr>
        <w:t>Select the customer, sales channel, products, quantities, prices, discounts, and serial numbers where applicable.</w:t>
      </w:r>
    </w:p>
    <w:p>
      <w:pPr>
        <w:pStyle w:val="ListNumber"/>
      </w:pPr>
      <w:r>
        <w:rPr>
          <w:rFonts w:ascii="Aptos" w:hAnsi="Aptos"/>
        </w:rPr>
        <w:t>Confirm payment details for a cash sale or credit terms for a credit sale.</w:t>
      </w:r>
    </w:p>
    <w:p>
      <w:pPr>
        <w:pStyle w:val="ListNumber"/>
      </w:pPr>
      <w:r>
        <w:rPr>
          <w:rFonts w:ascii="Aptos" w:hAnsi="Aptos"/>
        </w:rPr>
        <w:t>Post the sale. The system validates stock availability and records the invoice, stock movement, cost, margin, and accounting effect atomically.</w:t>
      </w:r>
    </w:p>
    <w:p>
      <w:pPr>
        <w:pStyle w:val="ListNumber"/>
      </w:pPr>
      <w:r>
        <w:rPr>
          <w:rFonts w:ascii="Aptos" w:hAnsi="Aptos"/>
        </w:rPr>
        <w:t>Print or review the invoice. For later corrections, use an authorized return, exchange, or void workflow rather than deleting the transaction.</w:t>
      </w:r>
    </w:p>
    <w:p>
      <w:pPr>
        <w:pStyle w:val="Heading2"/>
        <w:keepNext/>
      </w:pPr>
      <w:r>
        <w:t>Quotation to delivery and invoice</w:t>
      </w:r>
    </w:p>
    <w:p>
      <w:pPr>
        <w:pStyle w:val="ListNumber"/>
      </w:pPr>
      <w:r>
        <w:rPr>
          <w:rFonts w:ascii="Aptos" w:hAnsi="Aptos"/>
        </w:rPr>
        <w:t>Create a quotation and provide it to the customer.</w:t>
      </w:r>
    </w:p>
    <w:p>
      <w:pPr>
        <w:pStyle w:val="ListNumber"/>
      </w:pPr>
      <w:r>
        <w:rPr>
          <w:rFonts w:ascii="Aptos" w:hAnsi="Aptos"/>
        </w:rPr>
        <w:t>Convert the accepted quotation into a sales order.</w:t>
      </w:r>
    </w:p>
    <w:p>
      <w:pPr>
        <w:pStyle w:val="ListNumber"/>
      </w:pPr>
      <w:r>
        <w:rPr>
          <w:rFonts w:ascii="Aptos" w:hAnsi="Aptos"/>
        </w:rPr>
        <w:t>Create one or more delivery notes for partial or full fulfillment.</w:t>
      </w:r>
    </w:p>
    <w:p>
      <w:pPr>
        <w:pStyle w:val="ListNumber"/>
      </w:pPr>
      <w:r>
        <w:rPr>
          <w:rFonts w:ascii="Aptos" w:hAnsi="Aptos"/>
        </w:rPr>
        <w:t>The system retains links between the quotation, sales order, delivery notes, and resulting sale for traceability.</w:t>
      </w:r>
    </w:p>
    <w:p>
      <w:pPr>
        <w:pStyle w:val="Heading2"/>
        <w:keepNext/>
      </w:pPr>
      <w:r>
        <w:t>Purchase order to goods receipt</w:t>
      </w:r>
    </w:p>
    <w:p>
      <w:pPr>
        <w:pStyle w:val="ListNumber"/>
      </w:pPr>
      <w:r>
        <w:rPr>
          <w:rFonts w:ascii="Aptos" w:hAnsi="Aptos"/>
        </w:rPr>
        <w:t>Create a purchase order for the supplier and required items.</w:t>
      </w:r>
    </w:p>
    <w:p>
      <w:pPr>
        <w:pStyle w:val="ListNumber"/>
      </w:pPr>
      <w:r>
        <w:rPr>
          <w:rFonts w:ascii="Aptos" w:hAnsi="Aptos"/>
        </w:rPr>
        <w:t>An authorized user confirms the purchase order.</w:t>
      </w:r>
    </w:p>
    <w:p>
      <w:pPr>
        <w:pStyle w:val="ListNumber"/>
      </w:pPr>
      <w:r>
        <w:rPr>
          <w:rFonts w:ascii="Aptos" w:hAnsi="Aptos"/>
        </w:rPr>
        <w:t>Record a goods received note (GRN), including partial quantities when necessary.</w:t>
      </w:r>
    </w:p>
    <w:p>
      <w:pPr>
        <w:pStyle w:val="ListNumber"/>
      </w:pPr>
      <w:r>
        <w:rPr>
          <w:rFonts w:ascii="Aptos" w:hAnsi="Aptos"/>
        </w:rPr>
        <w:t>Posting the GRN updates stock and weighted-average cost. The linked supplier obligation becomes available for payment and aging.</w:t>
      </w:r>
    </w:p>
    <w:p>
      <w:pPr>
        <w:pStyle w:val="ListNumber"/>
      </w:pPr>
      <w:r>
        <w:rPr>
          <w:rFonts w:ascii="Aptos" w:hAnsi="Aptos"/>
        </w:rPr>
        <w:t>Use the purchase-return workflow for goods returned to the supplier.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8F5F3"/>
          </w:tcPr>
          <w:p>
            <w:pPr>
              <w:keepLines/>
              <w:spacing w:after="0"/>
            </w:pPr>
            <w:r>
              <w:rPr>
                <w:rFonts w:ascii="Aptos" w:hAnsi="Aptos"/>
                <w:b/>
                <w:color w:val="0F766E"/>
                <w:sz w:val="18"/>
              </w:rPr>
              <w:t xml:space="preserve">TRANSACTION INTEGRITY  </w:t>
            </w:r>
            <w:r>
              <w:rPr>
                <w:rFonts w:ascii="Aptos" w:hAnsi="Aptos"/>
                <w:b w:val="0"/>
                <w:color w:val="172033"/>
                <w:sz w:val="20"/>
              </w:rPr>
              <w:t>Draft records do not change stock or ledgers. Posted records are immutable. Corrections must preserve the original record and reference it through a return, void, or reversal.</w:t>
            </w:r>
          </w:p>
        </w:tc>
      </w:tr>
    </w:tbl>
    <w:p>
      <w:pPr>
        <w:spacing w:after="20"/>
      </w:pPr>
    </w:p>
    <w:p>
      <w:r>
        <w:br w:type="page"/>
      </w:r>
    </w:p>
    <w:p>
      <w:pPr>
        <w:pStyle w:val="Heading1"/>
        <w:keepNext/>
      </w:pPr>
      <w:r>
        <w:t>5. Inventory and costing</w:t>
      </w:r>
    </w:p>
    <w:p>
      <w:r>
        <w:rPr>
          <w:rFonts w:ascii="Aptos" w:hAnsi="Aptos"/>
        </w:rPr>
        <w:t>Inventory is movement-based. Each receipt, sale, return, transfer, adjustment, or count creates traceable stock movements. The stock ledger is the authoritative history; cached on-hand quantities must reconcile to it.</w:t>
      </w:r>
    </w:p>
    <w:p>
      <w:pPr>
        <w:pStyle w:val="Heading2"/>
        <w:keepNext/>
      </w:pPr>
      <w:r>
        <w:t>Weighted-average costing</w:t>
      </w:r>
    </w:p>
    <w:p>
      <w:r>
        <w:rPr>
          <w:rFonts w:ascii="Aptos" w:hAnsi="Aptos"/>
        </w:rPr>
        <w:t>When new stock is received, the system recalculates the product average cost using the value and quantity of existing stock plus the incoming stock. Sales preserve the historical unit cost used at the time of posting, allowing reliable gross-profit and margin reporting.</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tcMar>
              <w:top w:w="110" w:type="dxa"/>
              <w:start w:w="130" w:type="dxa"/>
              <w:bottom w:w="110" w:type="dxa"/>
              <w:end w:w="130" w:type="dxa"/>
            </w:tcMar>
            <w:vAlign w:val="center"/>
            <w:shd w:fill="102A50"/>
          </w:tcPr>
          <w:p>
            <w:pPr>
              <w:keepLines/>
              <w:spacing w:after="0"/>
            </w:pPr>
            <w:r>
              <w:rPr>
                <w:rFonts w:ascii="Aptos" w:hAnsi="Aptos"/>
                <w:b/>
                <w:color w:val="FFFFFF"/>
                <w:sz w:val="18"/>
              </w:rPr>
              <w:t>Event</w:t>
            </w:r>
          </w:p>
        </w:tc>
        <w:tc>
          <w:tcPr>
            <w:tcW w:type="dxa" w:w="5960"/>
            <w:tcMar>
              <w:top w:w="110" w:type="dxa"/>
              <w:start w:w="130" w:type="dxa"/>
              <w:bottom w:w="110" w:type="dxa"/>
              <w:end w:w="130" w:type="dxa"/>
            </w:tcMar>
            <w:vAlign w:val="center"/>
            <w:shd w:fill="102A50"/>
          </w:tcPr>
          <w:p>
            <w:pPr>
              <w:keepLines/>
              <w:spacing w:after="0"/>
            </w:pPr>
            <w:r>
              <w:rPr>
                <w:rFonts w:ascii="Aptos" w:hAnsi="Aptos"/>
                <w:b/>
                <w:color w:val="FFFFFF"/>
                <w:sz w:val="18"/>
              </w:rPr>
              <w:t>Inventory effect</w:t>
            </w:r>
          </w:p>
        </w:tc>
      </w:tr>
      <w:tr>
        <w:tc>
          <w:tcPr>
            <w:tcW w:type="dxa" w:w="3400"/>
            <w:tcMar>
              <w:top w:w="110" w:type="dxa"/>
              <w:start w:w="130" w:type="dxa"/>
              <w:bottom w:w="110" w:type="dxa"/>
              <w:end w:w="130" w:type="dxa"/>
            </w:tcMar>
            <w:vAlign w:val="center"/>
          </w:tcPr>
          <w:p>
            <w:pPr>
              <w:keepLines/>
              <w:spacing w:after="0"/>
            </w:pPr>
            <w:r>
              <w:rPr>
                <w:rFonts w:ascii="Aptos" w:hAnsi="Aptos"/>
                <w:b/>
                <w:color w:val="172033"/>
                <w:sz w:val="18"/>
              </w:rPr>
              <w:t>Opening stock / posted GRN / sales return</w:t>
            </w:r>
          </w:p>
        </w:tc>
        <w:tc>
          <w:tcPr>
            <w:tcW w:type="dxa" w:w="5960"/>
            <w:tcMar>
              <w:top w:w="110" w:type="dxa"/>
              <w:start w:w="130" w:type="dxa"/>
              <w:bottom w:w="110" w:type="dxa"/>
              <w:end w:w="130" w:type="dxa"/>
            </w:tcMar>
            <w:vAlign w:val="center"/>
          </w:tcPr>
          <w:p>
            <w:pPr>
              <w:keepLines/>
              <w:spacing w:after="0"/>
            </w:pPr>
            <w:r>
              <w:rPr>
                <w:rFonts w:ascii="Aptos" w:hAnsi="Aptos"/>
                <w:b w:val="0"/>
                <w:color w:val="172033"/>
                <w:sz w:val="18"/>
              </w:rPr>
              <w:t>Quantity enters stock.</w:t>
            </w:r>
          </w:p>
        </w:tc>
      </w:tr>
      <w:tr>
        <w:tc>
          <w:tcPr>
            <w:tcW w:type="dxa" w:w="3400"/>
            <w:shd w:fill="F6F8FB"/>
            <w:tcMar>
              <w:top w:w="110" w:type="dxa"/>
              <w:start w:w="130" w:type="dxa"/>
              <w:bottom w:w="110" w:type="dxa"/>
              <w:end w:w="130" w:type="dxa"/>
            </w:tcMar>
            <w:vAlign w:val="center"/>
          </w:tcPr>
          <w:p>
            <w:pPr>
              <w:keepLines/>
              <w:spacing w:after="0"/>
            </w:pPr>
            <w:r>
              <w:rPr>
                <w:rFonts w:ascii="Aptos" w:hAnsi="Aptos"/>
                <w:b/>
                <w:color w:val="172033"/>
                <w:sz w:val="18"/>
              </w:rPr>
              <w:t>Sale / purchase return / damaged write-off</w:t>
            </w:r>
          </w:p>
        </w:tc>
        <w:tc>
          <w:tcPr>
            <w:tcW w:type="dxa" w:w="5960"/>
            <w:shd w:fill="F6F8FB"/>
            <w:tcMar>
              <w:top w:w="110" w:type="dxa"/>
              <w:start w:w="130" w:type="dxa"/>
              <w:bottom w:w="110" w:type="dxa"/>
              <w:end w:w="130" w:type="dxa"/>
            </w:tcMar>
            <w:vAlign w:val="center"/>
          </w:tcPr>
          <w:p>
            <w:pPr>
              <w:keepLines/>
              <w:spacing w:after="0"/>
            </w:pPr>
            <w:r>
              <w:rPr>
                <w:rFonts w:ascii="Aptos" w:hAnsi="Aptos"/>
                <w:b w:val="0"/>
                <w:color w:val="172033"/>
                <w:sz w:val="18"/>
              </w:rPr>
              <w:t>Quantity leaves stock.</w:t>
            </w:r>
          </w:p>
        </w:tc>
      </w:tr>
      <w:tr>
        <w:tc>
          <w:tcPr>
            <w:tcW w:type="dxa" w:w="3400"/>
            <w:tcMar>
              <w:top w:w="110" w:type="dxa"/>
              <w:start w:w="130" w:type="dxa"/>
              <w:bottom w:w="110" w:type="dxa"/>
              <w:end w:w="130" w:type="dxa"/>
            </w:tcMar>
            <w:vAlign w:val="center"/>
          </w:tcPr>
          <w:p>
            <w:pPr>
              <w:keepLines/>
              <w:spacing w:after="0"/>
            </w:pPr>
            <w:r>
              <w:rPr>
                <w:rFonts w:ascii="Aptos" w:hAnsi="Aptos"/>
                <w:b/>
                <w:color w:val="172033"/>
                <w:sz w:val="18"/>
              </w:rPr>
              <w:t>Transfer</w:t>
            </w:r>
          </w:p>
        </w:tc>
        <w:tc>
          <w:tcPr>
            <w:tcW w:type="dxa" w:w="5960"/>
            <w:tcMar>
              <w:top w:w="110" w:type="dxa"/>
              <w:start w:w="130" w:type="dxa"/>
              <w:bottom w:w="110" w:type="dxa"/>
              <w:end w:w="130" w:type="dxa"/>
            </w:tcMar>
            <w:vAlign w:val="center"/>
          </w:tcPr>
          <w:p>
            <w:pPr>
              <w:keepLines/>
              <w:spacing w:after="0"/>
            </w:pPr>
            <w:r>
              <w:rPr>
                <w:rFonts w:ascii="Aptos" w:hAnsi="Aptos"/>
                <w:b w:val="0"/>
                <w:color w:val="172033"/>
                <w:sz w:val="18"/>
              </w:rPr>
              <w:t>Quantity leaves the source and enters the destination in one controlled transaction.</w:t>
            </w:r>
          </w:p>
        </w:tc>
      </w:tr>
      <w:tr>
        <w:tc>
          <w:tcPr>
            <w:tcW w:type="dxa" w:w="3400"/>
            <w:shd w:fill="F6F8FB"/>
            <w:tcMar>
              <w:top w:w="110" w:type="dxa"/>
              <w:start w:w="130" w:type="dxa"/>
              <w:bottom w:w="110" w:type="dxa"/>
              <w:end w:w="130" w:type="dxa"/>
            </w:tcMar>
            <w:vAlign w:val="center"/>
          </w:tcPr>
          <w:p>
            <w:pPr>
              <w:keepLines/>
              <w:spacing w:after="0"/>
            </w:pPr>
            <w:r>
              <w:rPr>
                <w:rFonts w:ascii="Aptos" w:hAnsi="Aptos"/>
                <w:b/>
                <w:color w:val="172033"/>
                <w:sz w:val="18"/>
              </w:rPr>
              <w:t>Confirmed count or adjustment</w:t>
            </w:r>
          </w:p>
        </w:tc>
        <w:tc>
          <w:tcPr>
            <w:tcW w:type="dxa" w:w="5960"/>
            <w:shd w:fill="F6F8FB"/>
            <w:tcMar>
              <w:top w:w="110" w:type="dxa"/>
              <w:start w:w="130" w:type="dxa"/>
              <w:bottom w:w="110" w:type="dxa"/>
              <w:end w:w="130" w:type="dxa"/>
            </w:tcMar>
            <w:vAlign w:val="center"/>
          </w:tcPr>
          <w:p>
            <w:pPr>
              <w:keepLines/>
              <w:spacing w:after="0"/>
            </w:pPr>
            <w:r>
              <w:rPr>
                <w:rFonts w:ascii="Aptos" w:hAnsi="Aptos"/>
                <w:b w:val="0"/>
                <w:color w:val="172033"/>
                <w:sz w:val="18"/>
              </w:rPr>
              <w:t>The approved difference is posted in or out with a reason.</w:t>
            </w:r>
          </w:p>
        </w:tc>
      </w:tr>
      <w:tr>
        <w:tc>
          <w:tcPr>
            <w:tcW w:type="dxa" w:w="3400"/>
            <w:tcMar>
              <w:top w:w="110" w:type="dxa"/>
              <w:start w:w="130" w:type="dxa"/>
              <w:bottom w:w="110" w:type="dxa"/>
              <w:end w:w="130" w:type="dxa"/>
            </w:tcMar>
            <w:vAlign w:val="center"/>
          </w:tcPr>
          <w:p>
            <w:pPr>
              <w:keepLines/>
              <w:spacing w:after="0"/>
            </w:pPr>
            <w:r>
              <w:rPr>
                <w:rFonts w:ascii="Aptos" w:hAnsi="Aptos"/>
                <w:b/>
                <w:color w:val="172033"/>
                <w:sz w:val="18"/>
              </w:rPr>
              <w:t>Sales-order reservation</w:t>
            </w:r>
          </w:p>
        </w:tc>
        <w:tc>
          <w:tcPr>
            <w:tcW w:type="dxa" w:w="5960"/>
            <w:tcMar>
              <w:top w:w="110" w:type="dxa"/>
              <w:start w:w="130" w:type="dxa"/>
              <w:bottom w:w="110" w:type="dxa"/>
              <w:end w:w="130" w:type="dxa"/>
            </w:tcMar>
            <w:vAlign w:val="center"/>
          </w:tcPr>
          <w:p>
            <w:pPr>
              <w:keepLines/>
              <w:spacing w:after="0"/>
            </w:pPr>
            <w:r>
              <w:rPr>
                <w:rFonts w:ascii="Aptos" w:hAnsi="Aptos"/>
                <w:b w:val="0"/>
                <w:color w:val="172033"/>
                <w:sz w:val="18"/>
              </w:rPr>
              <w:t>Availability is affected, but on-hand quantity is unchanged until delivery/posting.</w:t>
            </w:r>
          </w:p>
        </w:tc>
      </w:tr>
    </w:tbl>
    <w:p>
      <w:pPr>
        <w:spacing w:after="20"/>
      </w:pPr>
    </w:p>
    <w:p>
      <w:pPr>
        <w:pStyle w:val="Heading2"/>
        <w:keepNext/>
      </w:pPr>
      <w:r>
        <w:t>Serial-number controls</w:t>
      </w:r>
    </w:p>
    <w:p>
      <w:pPr>
        <w:pStyle w:val="ListBullet"/>
      </w:pPr>
      <w:r>
        <w:rPr>
          <w:rFonts w:ascii="Aptos" w:hAnsi="Aptos"/>
        </w:rPr>
        <w:t>Serial numbers are unique per product.</w:t>
      </w:r>
    </w:p>
    <w:p>
      <w:pPr>
        <w:pStyle w:val="ListBullet"/>
      </w:pPr>
      <w:r>
        <w:rPr>
          <w:rFonts w:ascii="Aptos" w:hAnsi="Aptos"/>
        </w:rPr>
        <w:t>A serial number is linked to acquisition, current location, sale, customer, return, and warranty activity as applicable.</w:t>
      </w:r>
    </w:p>
    <w:p>
      <w:pPr>
        <w:pStyle w:val="ListBullet"/>
      </w:pPr>
      <w:r>
        <w:rPr>
          <w:rFonts w:ascii="Aptos" w:hAnsi="Aptos"/>
        </w:rPr>
        <w:t>The same serial number cannot be sold twice.</w:t>
      </w:r>
    </w:p>
    <w:p>
      <w:pPr>
        <w:pStyle w:val="ListBullet"/>
      </w:pPr>
      <w:r>
        <w:rPr>
          <w:rFonts w:ascii="Aptos" w:hAnsi="Aptos"/>
        </w:rPr>
        <w:t>Serial assignments should be verified before a sale or return is posted.</w:t>
      </w:r>
    </w:p>
    <w:p>
      <w:pPr>
        <w:pStyle w:val="Heading2"/>
        <w:keepNext/>
      </w:pPr>
      <w:r>
        <w:t>Inventory operator checks</w:t>
      </w:r>
    </w:p>
    <w:p>
      <w:pPr>
        <w:pStyle w:val="ListBullet"/>
      </w:pPr>
      <w:r>
        <w:rPr>
          <w:rFonts w:ascii="Aptos" w:hAnsi="Aptos"/>
        </w:rPr>
        <w:t>Review negative or unavailable stock warnings before posting.</w:t>
      </w:r>
    </w:p>
    <w:p>
      <w:pPr>
        <w:pStyle w:val="ListBullet"/>
      </w:pPr>
      <w:r>
        <w:rPr>
          <w:rFonts w:ascii="Aptos" w:hAnsi="Aptos"/>
        </w:rPr>
        <w:t>Investigate low-stock, slow-moving, dead-stock, and valuation exceptions.</w:t>
      </w:r>
    </w:p>
    <w:p>
      <w:pPr>
        <w:pStyle w:val="ListBullet"/>
      </w:pPr>
      <w:r>
        <w:rPr>
          <w:rFonts w:ascii="Aptos" w:hAnsi="Aptos"/>
        </w:rPr>
        <w:t>Use stock counts and reconciliation reports to confirm physical stock.</w:t>
      </w:r>
    </w:p>
    <w:p>
      <w:pPr>
        <w:pStyle w:val="ListBullet"/>
      </w:pPr>
      <w:r>
        <w:rPr>
          <w:rFonts w:ascii="Aptos" w:hAnsi="Aptos"/>
        </w:rPr>
        <w:t>Record transfers and adjustments in the system rather than changing cached quantities directly.</w:t>
      </w:r>
    </w:p>
    <w:p>
      <w:r>
        <w:br w:type="page"/>
      </w:r>
    </w:p>
    <w:p>
      <w:pPr>
        <w:pStyle w:val="Heading1"/>
        <w:keepNext/>
      </w:pPr>
      <w:r>
        <w:t>6. Receivables, payables, and accounting</w:t>
      </w:r>
    </w:p>
    <w:p>
      <w:pPr>
        <w:pStyle w:val="Heading2"/>
        <w:keepNext/>
      </w:pPr>
      <w:r>
        <w:t>Customer receipts and allocations</w:t>
      </w:r>
    </w:p>
    <w:p>
      <w:r>
        <w:rPr>
          <w:rFonts w:ascii="Aptos" w:hAnsi="Aptos"/>
        </w:rPr>
        <w:t>A receipt can be allocated across several customer invoices, including partial settlements. Unallocated money is held as a customer advance until it is applied. The customer ledger and receivables aging show invoice balances, receipts, allocations, advances, and overdue amounts.</w:t>
      </w:r>
    </w:p>
    <w:p>
      <w:pPr>
        <w:pStyle w:val="Heading2"/>
        <w:keepNext/>
      </w:pPr>
      <w:r>
        <w:t>Supplier payments</w:t>
      </w:r>
    </w:p>
    <w:p>
      <w:r>
        <w:rPr>
          <w:rFonts w:ascii="Aptos" w:hAnsi="Aptos"/>
        </w:rPr>
        <w:t>Supplier obligations originate from posted purchasing documents. Payments may settle one or more supplier invoices, and unapplied amounts may remain as supplier advances. Supplier ledgers and aging reports support payment planning and balance review.</w:t>
      </w:r>
    </w:p>
    <w:p>
      <w:pPr>
        <w:pStyle w:val="Heading2"/>
        <w:keepNext/>
      </w:pPr>
      <w:r>
        <w:t>Accounting event examples</w:t>
      </w:r>
    </w:p>
    <w:tbl>
      <w:tblPr>
        <w:tblStyle w:val="TableGrid"/>
        <w:tblW w:type="dxa" w:w="9360"/>
        <w:jc w:val="left"/>
        <w:tblLayout w:type="fixed"/>
        <w:tblLook w:firstColumn="1" w:firstRow="1" w:lastColumn="0" w:lastRow="0" w:noHBand="0" w:noVBand="1" w:val="04A0"/>
        <w:tblInd w:w="120" w:type="dxa"/>
      </w:tblPr>
      <w:tblGrid>
        <w:gridCol w:w="2600"/>
        <w:gridCol w:w="3380"/>
        <w:gridCol w:w="3380"/>
      </w:tblGrid>
      <w:tr>
        <w:trPr>
          <w:tblHeader w:val="true"/>
        </w:trPr>
        <w:tc>
          <w:tcPr>
            <w:tcW w:type="dxa" w:w="2600"/>
            <w:tcMar>
              <w:top w:w="110" w:type="dxa"/>
              <w:start w:w="130" w:type="dxa"/>
              <w:bottom w:w="110" w:type="dxa"/>
              <w:end w:w="130" w:type="dxa"/>
            </w:tcMar>
            <w:vAlign w:val="center"/>
            <w:shd w:fill="102A50"/>
          </w:tcPr>
          <w:p>
            <w:pPr>
              <w:keepLines/>
              <w:spacing w:after="0"/>
            </w:pPr>
            <w:r>
              <w:rPr>
                <w:rFonts w:ascii="Aptos" w:hAnsi="Aptos"/>
                <w:b/>
                <w:color w:val="FFFFFF"/>
                <w:sz w:val="18"/>
              </w:rPr>
              <w:t>Business event</w:t>
            </w:r>
          </w:p>
        </w:tc>
        <w:tc>
          <w:tcPr>
            <w:tcW w:type="dxa" w:w="3380"/>
            <w:tcMar>
              <w:top w:w="110" w:type="dxa"/>
              <w:start w:w="130" w:type="dxa"/>
              <w:bottom w:w="110" w:type="dxa"/>
              <w:end w:w="130" w:type="dxa"/>
            </w:tcMar>
            <w:vAlign w:val="center"/>
            <w:shd w:fill="102A50"/>
          </w:tcPr>
          <w:p>
            <w:pPr>
              <w:keepLines/>
              <w:spacing w:after="0"/>
            </w:pPr>
            <w:r>
              <w:rPr>
                <w:rFonts w:ascii="Aptos" w:hAnsi="Aptos"/>
                <w:b/>
                <w:color w:val="FFFFFF"/>
                <w:sz w:val="18"/>
              </w:rPr>
              <w:t>Debit</w:t>
            </w:r>
          </w:p>
        </w:tc>
        <w:tc>
          <w:tcPr>
            <w:tcW w:type="dxa" w:w="3380"/>
            <w:tcMar>
              <w:top w:w="110" w:type="dxa"/>
              <w:start w:w="130" w:type="dxa"/>
              <w:bottom w:w="110" w:type="dxa"/>
              <w:end w:w="130" w:type="dxa"/>
            </w:tcMar>
            <w:vAlign w:val="center"/>
            <w:shd w:fill="102A50"/>
          </w:tcPr>
          <w:p>
            <w:pPr>
              <w:keepLines/>
              <w:spacing w:after="0"/>
            </w:pPr>
            <w:r>
              <w:rPr>
                <w:rFonts w:ascii="Aptos" w:hAnsi="Aptos"/>
                <w:b/>
                <w:color w:val="FFFFFF"/>
                <w:sz w:val="18"/>
              </w:rPr>
              <w:t>Credit</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Cash sale</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Cash/Bank; Cost of Goods Sold</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Sales Revenue; Inventory</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Credit sale</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Accounts Receivable; Cost of Goods Sold</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Sales Revenue; Inventory</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Customer receipt</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Cash/Bank</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Accounts Receivable or Customer Advances</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Credit purchase</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Inventory</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Accounts Payable</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Supplier payment</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Accounts Payable</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Cash/Bank</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Expense</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Expense account</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Cash/Bank or payable</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Sales return</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Sales Returns; Inventory</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Cash/AR/Credit Note; Cost of Goods Sold</w:t>
            </w:r>
          </w:p>
        </w:tc>
      </w:tr>
    </w:tbl>
    <w:p>
      <w:pPr>
        <w:spacing w:after="20"/>
      </w:pPr>
    </w:p>
    <w:p>
      <w:pPr>
        <w:pStyle w:val="Heading2"/>
        <w:keepNext/>
      </w:pPr>
      <w:r>
        <w:t>Accounting safeguards</w:t>
      </w:r>
    </w:p>
    <w:p>
      <w:pPr>
        <w:pStyle w:val="ListBullet"/>
      </w:pPr>
      <w:r>
        <w:rPr>
          <w:rFonts w:ascii="Aptos" w:hAnsi="Aptos"/>
        </w:rPr>
        <w:t>Every posted journal must balance: total debit equals total credit.</w:t>
      </w:r>
    </w:p>
    <w:p>
      <w:pPr>
        <w:pStyle w:val="ListBullet"/>
      </w:pPr>
      <w:r>
        <w:rPr>
          <w:rFonts w:ascii="Aptos" w:hAnsi="Aptos"/>
        </w:rPr>
        <w:t>Posting is blocked in closed accounting periods.</w:t>
      </w:r>
    </w:p>
    <w:p>
      <w:pPr>
        <w:pStyle w:val="ListBullet"/>
      </w:pPr>
      <w:r>
        <w:rPr>
          <w:rFonts w:ascii="Aptos" w:hAnsi="Aptos"/>
        </w:rPr>
        <w:t>Financial statements are derived from posted journal lines only.</w:t>
      </w:r>
    </w:p>
    <w:p>
      <w:pPr>
        <w:pStyle w:val="ListBullet"/>
      </w:pPr>
      <w:r>
        <w:rPr>
          <w:rFonts w:ascii="Aptos" w:hAnsi="Aptos"/>
        </w:rPr>
        <w:t>Reversals invert the original accounting effect rather than silently recalculating history.</w:t>
      </w:r>
    </w:p>
    <w:p>
      <w:pPr>
        <w:pStyle w:val="ListBullet"/>
      </w:pPr>
      <w:r>
        <w:rPr>
          <w:rFonts w:ascii="Aptos" w:hAnsi="Aptos"/>
        </w:rPr>
        <w:t>Reconciliation compares AR, AP, inventory, and cash subsidiaries with their control accounts.</w:t>
      </w:r>
    </w:p>
    <w:p>
      <w:r>
        <w:br w:type="page"/>
      </w:r>
    </w:p>
    <w:p>
      <w:pPr>
        <w:pStyle w:val="Heading1"/>
        <w:keepNext/>
      </w:pPr>
      <w:r>
        <w:t>7. Reports and management information</w:t>
      </w:r>
    </w:p>
    <w:p>
      <w:r>
        <w:rPr>
          <w:rFonts w:ascii="Aptos" w:hAnsi="Aptos"/>
        </w:rPr>
        <w:t>The reporting layer converts operational records into information for daily decisions, financial control, and management review. Filters and drill-downs should be used to trace totals back to source transactions.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110" w:type="dxa"/>
              <w:start w:w="130" w:type="dxa"/>
              <w:bottom w:w="110" w:type="dxa"/>
              <w:end w:w="130" w:type="dxa"/>
            </w:tcMar>
            <w:vAlign w:val="center"/>
            <w:shd w:fill="102A50"/>
          </w:tcPr>
          <w:p>
            <w:pPr>
              <w:keepLines/>
              <w:spacing w:after="0"/>
            </w:pPr>
            <w:r>
              <w:rPr>
                <w:rFonts w:ascii="Aptos" w:hAnsi="Aptos"/>
                <w:b/>
                <w:color w:val="FFFFFF"/>
                <w:sz w:val="18"/>
              </w:rPr>
              <w:t>Report family</w:t>
            </w:r>
          </w:p>
        </w:tc>
        <w:tc>
          <w:tcPr>
            <w:tcW w:type="dxa" w:w="6860"/>
            <w:tcMar>
              <w:top w:w="110" w:type="dxa"/>
              <w:start w:w="130" w:type="dxa"/>
              <w:bottom w:w="110" w:type="dxa"/>
              <w:end w:w="130" w:type="dxa"/>
            </w:tcMar>
            <w:vAlign w:val="center"/>
            <w:shd w:fill="102A50"/>
          </w:tcPr>
          <w:p>
            <w:pPr>
              <w:keepLines/>
              <w:spacing w:after="0"/>
            </w:pPr>
            <w:r>
              <w:rPr>
                <w:rFonts w:ascii="Aptos" w:hAnsi="Aptos"/>
                <w:b/>
                <w:color w:val="FFFFFF"/>
                <w:sz w:val="18"/>
              </w:rPr>
              <w:t>Questions answered</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Dashboard / CFO view</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is happening now? Which KPIs, alerts, and trends need attention?</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Profitability</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Which channels, products, invoices, customers, categories, or brands generate margin?</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Inventory</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is on hand, what is it worth, and which items are low, slow, fast, or inactive?</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Receivables aging</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Who owes the company, how much is overdue, and what has been allocated or advanced?</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Payables aging</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is owed to suppliers and when should it be paid?</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Trial balance / ledger</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Which accounts changed and do debits equal credits?</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Profit and loss</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revenue, cost, and expense produced the period result?</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Balance sheet</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What assets, liabilities, and equity exist at the reporting date?</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Cash flow</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How did operating, investing, and financing activities affect cash?</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Reconciliation</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Do subsidiary balances agree with control accounts and source records?</w:t>
            </w:r>
          </w:p>
        </w:tc>
      </w:tr>
    </w:tbl>
    <w:p>
      <w:pPr>
        <w:spacing w:after="20"/>
      </w:pPr>
    </w:p>
    <w:p>
      <w:pPr>
        <w:pStyle w:val="Heading2"/>
        <w:keepNext/>
      </w:pPr>
      <w:r>
        <w:t>Using exports responsibly</w:t>
      </w:r>
    </w:p>
    <w:p>
      <w:r>
        <w:rPr>
          <w:rFonts w:ascii="Aptos" w:hAnsi="Aptos"/>
        </w:rPr>
        <w:t>Selected reports can be exported to Excel, CSV, PDF, or print output. Treat exported files as confidential business records. Use the report date, filter criteria, and source module when sharing figures so recipients can reproduce the result.</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FFF7E6"/>
          </w:tcPr>
          <w:p>
            <w:pPr>
              <w:keepLines/>
              <w:spacing w:after="0"/>
            </w:pPr>
            <w:r>
              <w:rPr>
                <w:rFonts w:ascii="Aptos" w:hAnsi="Aptos"/>
                <w:b/>
                <w:color w:val="C58B1B"/>
                <w:sz w:val="18"/>
              </w:rPr>
              <w:t xml:space="preserve">MANAGEMENT PRACTICE  </w:t>
            </w:r>
            <w:r>
              <w:rPr>
                <w:rFonts w:ascii="Aptos" w:hAnsi="Aptos"/>
                <w:b w:val="0"/>
                <w:color w:val="172033"/>
                <w:sz w:val="20"/>
              </w:rPr>
              <w:t>Investigate unexpected values at the source-document level before making decisions. A report is a summary; the audit trail and linked transactions provide the evidence.</w:t>
            </w:r>
          </w:p>
        </w:tc>
      </w:tr>
    </w:tbl>
    <w:p>
      <w:pPr>
        <w:spacing w:after="20"/>
      </w:pPr>
    </w:p>
    <w:p>
      <w:r>
        <w:br w:type="page"/>
      </w:r>
    </w:p>
    <w:p>
      <w:pPr>
        <w:pStyle w:val="Heading1"/>
        <w:keepNext/>
      </w:pPr>
      <w:r>
        <w:t>8. Controls, administration, and audit</w:t>
      </w:r>
    </w:p>
    <w:p>
      <w:pPr>
        <w:pStyle w:val="Heading2"/>
        <w:keepNext/>
      </w:pPr>
      <w:r>
        <w:t>Status and approval model</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110" w:type="dxa"/>
              <w:start w:w="130" w:type="dxa"/>
              <w:bottom w:w="110" w:type="dxa"/>
              <w:end w:w="130" w:type="dxa"/>
            </w:tcMar>
            <w:vAlign w:val="center"/>
            <w:shd w:fill="102A50"/>
          </w:tcPr>
          <w:p>
            <w:pPr>
              <w:keepLines/>
              <w:spacing w:after="0"/>
            </w:pPr>
            <w:r>
              <w:rPr>
                <w:rFonts w:ascii="Aptos" w:hAnsi="Aptos"/>
                <w:b/>
                <w:color w:val="FFFFFF"/>
                <w:sz w:val="18"/>
              </w:rPr>
              <w:t>Status</w:t>
            </w:r>
          </w:p>
        </w:tc>
        <w:tc>
          <w:tcPr>
            <w:tcW w:type="dxa" w:w="6560"/>
            <w:tcMar>
              <w:top w:w="110" w:type="dxa"/>
              <w:start w:w="130" w:type="dxa"/>
              <w:bottom w:w="110" w:type="dxa"/>
              <w:end w:w="130" w:type="dxa"/>
            </w:tcMar>
            <w:vAlign w:val="center"/>
            <w:shd w:fill="102A50"/>
          </w:tcPr>
          <w:p>
            <w:pPr>
              <w:keepLines/>
              <w:spacing w:after="0"/>
            </w:pPr>
            <w:r>
              <w:rPr>
                <w:rFonts w:ascii="Aptos" w:hAnsi="Aptos"/>
                <w:b/>
                <w:color w:val="FFFFFF"/>
                <w:sz w:val="18"/>
              </w:rPr>
              <w:t>Meaning</w:t>
            </w:r>
          </w:p>
        </w:tc>
      </w:tr>
      <w:tr>
        <w:tc>
          <w:tcPr>
            <w:tcW w:type="dxa" w:w="2800"/>
            <w:tcMar>
              <w:top w:w="110" w:type="dxa"/>
              <w:start w:w="130" w:type="dxa"/>
              <w:bottom w:w="110" w:type="dxa"/>
              <w:end w:w="130" w:type="dxa"/>
            </w:tcMar>
            <w:vAlign w:val="center"/>
          </w:tcPr>
          <w:p>
            <w:pPr>
              <w:keepLines/>
              <w:spacing w:after="0"/>
            </w:pPr>
            <w:r>
              <w:rPr>
                <w:rFonts w:ascii="Aptos" w:hAnsi="Aptos"/>
                <w:b/>
                <w:color w:val="172033"/>
                <w:sz w:val="18"/>
              </w:rPr>
              <w:t>Draft</w:t>
            </w:r>
          </w:p>
        </w:tc>
        <w:tc>
          <w:tcPr>
            <w:tcW w:type="dxa" w:w="6560"/>
            <w:tcMar>
              <w:top w:w="110" w:type="dxa"/>
              <w:start w:w="130" w:type="dxa"/>
              <w:bottom w:w="110" w:type="dxa"/>
              <w:end w:w="130" w:type="dxa"/>
            </w:tcMar>
            <w:vAlign w:val="center"/>
          </w:tcPr>
          <w:p>
            <w:pPr>
              <w:keepLines/>
              <w:spacing w:after="0"/>
            </w:pPr>
            <w:r>
              <w:rPr>
                <w:rFonts w:ascii="Aptos" w:hAnsi="Aptos"/>
                <w:b w:val="0"/>
                <w:color w:val="172033"/>
                <w:sz w:val="18"/>
              </w:rPr>
              <w:t>Editable preparation state; no stock or ledger effect.</w:t>
            </w:r>
          </w:p>
        </w:tc>
      </w:tr>
      <w:tr>
        <w:tc>
          <w:tcPr>
            <w:tcW w:type="dxa" w:w="2800"/>
            <w:shd w:fill="F6F8FB"/>
            <w:tcMar>
              <w:top w:w="110" w:type="dxa"/>
              <w:start w:w="130" w:type="dxa"/>
              <w:bottom w:w="110" w:type="dxa"/>
              <w:end w:w="130" w:type="dxa"/>
            </w:tcMar>
            <w:vAlign w:val="center"/>
          </w:tcPr>
          <w:p>
            <w:pPr>
              <w:keepLines/>
              <w:spacing w:after="0"/>
            </w:pPr>
            <w:r>
              <w:rPr>
                <w:rFonts w:ascii="Aptos" w:hAnsi="Aptos"/>
                <w:b/>
                <w:color w:val="172033"/>
                <w:sz w:val="18"/>
              </w:rPr>
              <w:t>Confirmed / approved</w:t>
            </w:r>
          </w:p>
        </w:tc>
        <w:tc>
          <w:tcPr>
            <w:tcW w:type="dxa" w:w="6560"/>
            <w:shd w:fill="F6F8FB"/>
            <w:tcMar>
              <w:top w:w="110" w:type="dxa"/>
              <w:start w:w="130" w:type="dxa"/>
              <w:bottom w:w="110" w:type="dxa"/>
              <w:end w:w="130" w:type="dxa"/>
            </w:tcMar>
            <w:vAlign w:val="center"/>
          </w:tcPr>
          <w:p>
            <w:pPr>
              <w:keepLines/>
              <w:spacing w:after="0"/>
            </w:pPr>
            <w:r>
              <w:rPr>
                <w:rFonts w:ascii="Aptos" w:hAnsi="Aptos"/>
                <w:b w:val="0"/>
                <w:color w:val="172033"/>
                <w:sz w:val="18"/>
              </w:rPr>
              <w:t>Validated for the next controlled step.</w:t>
            </w:r>
          </w:p>
        </w:tc>
      </w:tr>
      <w:tr>
        <w:tc>
          <w:tcPr>
            <w:tcW w:type="dxa" w:w="2800"/>
            <w:tcMar>
              <w:top w:w="110" w:type="dxa"/>
              <w:start w:w="130" w:type="dxa"/>
              <w:bottom w:w="110" w:type="dxa"/>
              <w:end w:w="130" w:type="dxa"/>
            </w:tcMar>
            <w:vAlign w:val="center"/>
          </w:tcPr>
          <w:p>
            <w:pPr>
              <w:keepLines/>
              <w:spacing w:after="0"/>
            </w:pPr>
            <w:r>
              <w:rPr>
                <w:rFonts w:ascii="Aptos" w:hAnsi="Aptos"/>
                <w:b/>
                <w:color w:val="172033"/>
                <w:sz w:val="18"/>
              </w:rPr>
              <w:t>Posted</w:t>
            </w:r>
          </w:p>
        </w:tc>
        <w:tc>
          <w:tcPr>
            <w:tcW w:type="dxa" w:w="6560"/>
            <w:tcMar>
              <w:top w:w="110" w:type="dxa"/>
              <w:start w:w="130" w:type="dxa"/>
              <w:bottom w:w="110" w:type="dxa"/>
              <w:end w:w="130" w:type="dxa"/>
            </w:tcMar>
            <w:vAlign w:val="center"/>
          </w:tcPr>
          <w:p>
            <w:pPr>
              <w:keepLines/>
              <w:spacing w:after="0"/>
            </w:pPr>
            <w:r>
              <w:rPr>
                <w:rFonts w:ascii="Aptos" w:hAnsi="Aptos"/>
                <w:b w:val="0"/>
                <w:color w:val="172033"/>
                <w:sz w:val="18"/>
              </w:rPr>
              <w:t>Operational and/or accounting effects are committed and immutable.</w:t>
            </w:r>
          </w:p>
        </w:tc>
      </w:tr>
      <w:tr>
        <w:tc>
          <w:tcPr>
            <w:tcW w:type="dxa" w:w="2800"/>
            <w:shd w:fill="F6F8FB"/>
            <w:tcMar>
              <w:top w:w="110" w:type="dxa"/>
              <w:start w:w="130" w:type="dxa"/>
              <w:bottom w:w="110" w:type="dxa"/>
              <w:end w:w="130" w:type="dxa"/>
            </w:tcMar>
            <w:vAlign w:val="center"/>
          </w:tcPr>
          <w:p>
            <w:pPr>
              <w:keepLines/>
              <w:spacing w:after="0"/>
            </w:pPr>
            <w:r>
              <w:rPr>
                <w:rFonts w:ascii="Aptos" w:hAnsi="Aptos"/>
                <w:b/>
                <w:color w:val="172033"/>
                <w:sz w:val="18"/>
              </w:rPr>
              <w:t>Partially paid / paid / overdue</w:t>
            </w:r>
          </w:p>
        </w:tc>
        <w:tc>
          <w:tcPr>
            <w:tcW w:type="dxa" w:w="6560"/>
            <w:shd w:fill="F6F8FB"/>
            <w:tcMar>
              <w:top w:w="110" w:type="dxa"/>
              <w:start w:w="130" w:type="dxa"/>
              <w:bottom w:w="110" w:type="dxa"/>
              <w:end w:w="130" w:type="dxa"/>
            </w:tcMar>
            <w:vAlign w:val="center"/>
          </w:tcPr>
          <w:p>
            <w:pPr>
              <w:keepLines/>
              <w:spacing w:after="0"/>
            </w:pPr>
            <w:r>
              <w:rPr>
                <w:rFonts w:ascii="Aptos" w:hAnsi="Aptos"/>
                <w:b w:val="0"/>
                <w:color w:val="172033"/>
                <w:sz w:val="18"/>
              </w:rPr>
              <w:t>Settlement condition of invoices and obligations.</w:t>
            </w:r>
          </w:p>
        </w:tc>
      </w:tr>
      <w:tr>
        <w:tc>
          <w:tcPr>
            <w:tcW w:type="dxa" w:w="2800"/>
            <w:tcMar>
              <w:top w:w="110" w:type="dxa"/>
              <w:start w:w="130" w:type="dxa"/>
              <w:bottom w:w="110" w:type="dxa"/>
              <w:end w:w="130" w:type="dxa"/>
            </w:tcMar>
            <w:vAlign w:val="center"/>
          </w:tcPr>
          <w:p>
            <w:pPr>
              <w:keepLines/>
              <w:spacing w:after="0"/>
            </w:pPr>
            <w:r>
              <w:rPr>
                <w:rFonts w:ascii="Aptos" w:hAnsi="Aptos"/>
                <w:b/>
                <w:color w:val="172033"/>
                <w:sz w:val="18"/>
              </w:rPr>
              <w:t>Reversed / voided</w:t>
            </w:r>
          </w:p>
        </w:tc>
        <w:tc>
          <w:tcPr>
            <w:tcW w:type="dxa" w:w="6560"/>
            <w:tcMar>
              <w:top w:w="110" w:type="dxa"/>
              <w:start w:w="130" w:type="dxa"/>
              <w:bottom w:w="110" w:type="dxa"/>
              <w:end w:w="130" w:type="dxa"/>
            </w:tcMar>
            <w:vAlign w:val="center"/>
          </w:tcPr>
          <w:p>
            <w:pPr>
              <w:keepLines/>
              <w:spacing w:after="0"/>
            </w:pPr>
            <w:r>
              <w:rPr>
                <w:rFonts w:ascii="Aptos" w:hAnsi="Aptos"/>
                <w:b w:val="0"/>
                <w:color w:val="172033"/>
                <w:sz w:val="18"/>
              </w:rPr>
              <w:t>Original record retained; opposite or cancellation effect recorded with reference.</w:t>
            </w:r>
          </w:p>
        </w:tc>
      </w:tr>
      <w:tr>
        <w:tc>
          <w:tcPr>
            <w:tcW w:type="dxa" w:w="2800"/>
            <w:shd w:fill="F6F8FB"/>
            <w:tcMar>
              <w:top w:w="110" w:type="dxa"/>
              <w:start w:w="130" w:type="dxa"/>
              <w:bottom w:w="110" w:type="dxa"/>
              <w:end w:w="130" w:type="dxa"/>
            </w:tcMar>
            <w:vAlign w:val="center"/>
          </w:tcPr>
          <w:p>
            <w:pPr>
              <w:keepLines/>
              <w:spacing w:after="0"/>
            </w:pPr>
            <w:r>
              <w:rPr>
                <w:rFonts w:ascii="Aptos" w:hAnsi="Aptos"/>
                <w:b/>
                <w:color w:val="172033"/>
                <w:sz w:val="18"/>
              </w:rPr>
              <w:t>Cancelled</w:t>
            </w:r>
          </w:p>
        </w:tc>
        <w:tc>
          <w:tcPr>
            <w:tcW w:type="dxa" w:w="6560"/>
            <w:shd w:fill="F6F8FB"/>
            <w:tcMar>
              <w:top w:w="110" w:type="dxa"/>
              <w:start w:w="130" w:type="dxa"/>
              <w:bottom w:w="110" w:type="dxa"/>
              <w:end w:w="130" w:type="dxa"/>
            </w:tcMar>
            <w:vAlign w:val="center"/>
          </w:tcPr>
          <w:p>
            <w:pPr>
              <w:keepLines/>
              <w:spacing w:after="0"/>
            </w:pPr>
            <w:r>
              <w:rPr>
                <w:rFonts w:ascii="Aptos" w:hAnsi="Aptos"/>
                <w:b w:val="0"/>
                <w:color w:val="172033"/>
                <w:sz w:val="18"/>
              </w:rPr>
              <w:t>Stopped before completion according to module rules.</w:t>
            </w:r>
          </w:p>
        </w:tc>
      </w:tr>
    </w:tbl>
    <w:p>
      <w:pPr>
        <w:spacing w:after="20"/>
      </w:pPr>
    </w:p>
    <w:p>
      <w:pPr>
        <w:pStyle w:val="Heading2"/>
        <w:keepNext/>
      </w:pPr>
      <w:r>
        <w:t>Four-eyes controls</w:t>
      </w:r>
    </w:p>
    <w:p>
      <w:r>
        <w:rPr>
          <w:rFonts w:ascii="Aptos" w:hAnsi="Aptos"/>
        </w:rPr>
        <w:t>Sensitive actions such as period close or reopen can require a different authorized reviewer from the requester. This separation reduces the risk of one person initiating and approving the same high-impact change.</w:t>
      </w:r>
    </w:p>
    <w:p>
      <w:pPr>
        <w:pStyle w:val="Heading2"/>
        <w:keepNext/>
      </w:pPr>
      <w:r>
        <w:t>Audit and backup controls</w:t>
      </w:r>
    </w:p>
    <w:p>
      <w:pPr>
        <w:pStyle w:val="ListBullet"/>
      </w:pPr>
      <w:r>
        <w:rPr>
          <w:rFonts w:ascii="Aptos" w:hAnsi="Aptos"/>
        </w:rPr>
        <w:t>Audit logs retain the actor, action, record, previous and new values, IP address, and time where applicable.</w:t>
      </w:r>
    </w:p>
    <w:p>
      <w:pPr>
        <w:pStyle w:val="ListBullet"/>
      </w:pPr>
      <w:r>
        <w:rPr>
          <w:rFonts w:ascii="Aptos" w:hAnsi="Aptos"/>
        </w:rPr>
        <w:t>Normal users must not have destructive access to audit history or posted records.</w:t>
      </w:r>
    </w:p>
    <w:p>
      <w:pPr>
        <w:pStyle w:val="ListBullet"/>
      </w:pPr>
      <w:r>
        <w:rPr>
          <w:rFonts w:ascii="Aptos" w:hAnsi="Aptos"/>
        </w:rPr>
        <w:t>The Control Center shows database and release-health information.</w:t>
      </w:r>
    </w:p>
    <w:p>
      <w:pPr>
        <w:pStyle w:val="ListBullet"/>
      </w:pPr>
      <w:r>
        <w:rPr>
          <w:rFonts w:ascii="Aptos" w:hAnsi="Aptos"/>
        </w:rPr>
        <w:t>Backups are checksum verified and should be scheduled, retained, and copied to an encrypted off-machine location.</w:t>
      </w:r>
    </w:p>
    <w:p>
      <w:pPr>
        <w:pStyle w:val="ListBullet"/>
      </w:pPr>
      <w:r>
        <w:rPr>
          <w:rFonts w:ascii="Aptos" w:hAnsi="Aptos"/>
        </w:rPr>
        <w:t>Restore is intentionally unavailable in the web interface; it must be performed by an authorized administrator into an isolated database and verified before promotion.</w:t>
      </w:r>
    </w:p>
    <w:p>
      <w:pPr>
        <w:pStyle w:val="Heading2"/>
        <w:keepNext/>
      </w:pPr>
      <w:r>
        <w:t>Daily control checklist</w:t>
      </w:r>
    </w:p>
    <w:p>
      <w:pPr>
        <w:pStyle w:val="ListBullet"/>
      </w:pPr>
      <w:r>
        <w:rPr>
          <w:rFonts w:ascii="Aptos" w:hAnsi="Aptos"/>
        </w:rPr>
        <w:t>Confirm users work under their own accounts and roles.</w:t>
      </w:r>
    </w:p>
    <w:p>
      <w:pPr>
        <w:pStyle w:val="ListBullet"/>
      </w:pPr>
      <w:r>
        <w:rPr>
          <w:rFonts w:ascii="Aptos" w:hAnsi="Aptos"/>
        </w:rPr>
        <w:t>Review exceptions, notifications, and pending approvals.</w:t>
      </w:r>
    </w:p>
    <w:p>
      <w:pPr>
        <w:pStyle w:val="ListBullet"/>
      </w:pPr>
      <w:r>
        <w:rPr>
          <w:rFonts w:ascii="Aptos" w:hAnsi="Aptos"/>
        </w:rPr>
        <w:t>Close cashier sessions and investigate variances.</w:t>
      </w:r>
    </w:p>
    <w:p>
      <w:pPr>
        <w:pStyle w:val="ListBullet"/>
      </w:pPr>
      <w:r>
        <w:rPr>
          <w:rFonts w:ascii="Aptos" w:hAnsi="Aptos"/>
        </w:rPr>
        <w:t>Review overdue receivables and planned supplier payments.</w:t>
      </w:r>
    </w:p>
    <w:p>
      <w:pPr>
        <w:pStyle w:val="ListBullet"/>
      </w:pPr>
      <w:r>
        <w:rPr>
          <w:rFonts w:ascii="Aptos" w:hAnsi="Aptos"/>
        </w:rPr>
        <w:t>Check stock and accounting reconciliation indicators.</w:t>
      </w:r>
    </w:p>
    <w:p>
      <w:pPr>
        <w:pStyle w:val="ListBullet"/>
      </w:pPr>
      <w:r>
        <w:rPr>
          <w:rFonts w:ascii="Aptos" w:hAnsi="Aptos"/>
        </w:rPr>
        <w:t>Confirm the latest scheduled backup completed successfully.</w:t>
      </w:r>
    </w:p>
    <w:p>
      <w:r>
        <w:br w:type="page"/>
      </w:r>
    </w:p>
    <w:p>
      <w:pPr>
        <w:pStyle w:val="Heading1"/>
        <w:keepNext/>
      </w:pPr>
      <w:r>
        <w:t>9. Local setup and operation</w:t>
      </w:r>
    </w:p>
    <w:p>
      <w:r>
        <w:rPr>
          <w:rFonts w:ascii="Aptos" w:hAnsi="Aptos"/>
        </w:rPr>
        <w:t>The application is intended to run locally until its runtime is upgraded and production controls are completed. The exact local PHP/XAMPP/Laragon path may vary by computer; use the installed compatible runtime and keep environment credentials outside source control.</w:t>
      </w:r>
    </w:p>
    <w:p>
      <w:pPr>
        <w:pStyle w:val="Heading2"/>
        <w:keepNext/>
      </w:pPr>
      <w:r>
        <w:t>Installation sequence</w:t>
      </w:r>
    </w:p>
    <w:p>
      <w:pPr>
        <w:pStyle w:val="ListNumber"/>
      </w:pPr>
      <w:r>
        <w:rPr>
          <w:rFonts w:ascii="Aptos" w:hAnsi="Aptos"/>
        </w:rPr>
        <w:t>Install or start a compatible PHP web runtime and MariaDB/MySQL service.</w:t>
      </w:r>
    </w:p>
    <w:p>
      <w:pPr>
        <w:pStyle w:val="ListNumber"/>
      </w:pPr>
      <w:r>
        <w:rPr>
          <w:rFonts w:ascii="Aptos" w:hAnsi="Aptos"/>
        </w:rPr>
        <w:t>Create the UTF-8 database named supun_erp (or set the chosen database name in .env).</w:t>
      </w:r>
    </w:p>
    <w:p>
      <w:pPr>
        <w:pStyle w:val="ListNumber"/>
      </w:pPr>
      <w:r>
        <w:rPr>
          <w:rFonts w:ascii="Aptos" w:hAnsi="Aptos"/>
        </w:rPr>
        <w:t>Copy .env.example to .env and configure the application URL and database connection.</w:t>
      </w:r>
    </w:p>
    <w:p>
      <w:pPr>
        <w:pStyle w:val="ListNumber"/>
      </w:pPr>
      <w:r>
        <w:rPr>
          <w:rFonts w:ascii="Aptos" w:hAnsi="Aptos"/>
        </w:rPr>
        <w:t>Install Composer dependencies and generate the Laravel application key.</w:t>
      </w:r>
    </w:p>
    <w:p>
      <w:pPr>
        <w:pStyle w:val="ListNumber"/>
      </w:pPr>
      <w:r>
        <w:rPr>
          <w:rFonts w:ascii="Aptos" w:hAnsi="Aptos"/>
        </w:rPr>
        <w:t>Run database migrations and seed the controlled starting data.</w:t>
      </w:r>
    </w:p>
    <w:p>
      <w:pPr>
        <w:pStyle w:val="ListNumber"/>
      </w:pPr>
      <w:r>
        <w:rPr>
          <w:rFonts w:ascii="Aptos" w:hAnsi="Aptos"/>
        </w:rPr>
        <w:t>Point the web server document root to the public directory, or start the Laravel development server on a local-only address.</w:t>
      </w:r>
    </w:p>
    <w:p>
      <w:pPr>
        <w:pStyle w:val="ListNumber"/>
      </w:pPr>
      <w:r>
        <w:rPr>
          <w:rFonts w:ascii="Aptos" w:hAnsi="Aptos"/>
        </w:rPr>
        <w:t>Sign in, change the temporary administrator password, create named staff users, and confirm role permissions.</w:t>
      </w:r>
    </w:p>
    <w:p>
      <w:pPr>
        <w:pStyle w:val="Heading2"/>
        <w:keepNext/>
      </w:pPr>
      <w:r>
        <w:t>Database port warning</w:t>
      </w:r>
    </w:p>
    <w:p>
      <w:r>
        <w:rPr>
          <w:rFonts w:ascii="Aptos" w:hAnsi="Aptos"/>
        </w:rPr>
        <w:t>Only one database service can listen on a given port. If another MySQL service already uses port 3306, stop it or configure MariaDB on another port such as 3307, then set the same DB_PORT in .env. Never run two servers on the same port.</w:t>
      </w:r>
    </w:p>
    <w:p>
      <w:pPr>
        <w:pStyle w:val="Heading2"/>
        <w:keepNext/>
      </w:pPr>
      <w:r>
        <w:t>Operational verification</w:t>
      </w:r>
    </w:p>
    <w:p>
      <w:pPr>
        <w:pStyle w:val="ListBullet"/>
      </w:pPr>
      <w:r>
        <w:rPr>
          <w:rFonts w:ascii="Aptos" w:hAnsi="Aptos"/>
        </w:rPr>
        <w:t>The login page opens and authenticated navigation is permission appropriate.</w:t>
      </w:r>
    </w:p>
    <w:p>
      <w:pPr>
        <w:pStyle w:val="ListBullet"/>
      </w:pPr>
      <w:r>
        <w:rPr>
          <w:rFonts w:ascii="Aptos" w:hAnsi="Aptos"/>
        </w:rPr>
        <w:t>All migrations show as applied.</w:t>
      </w:r>
    </w:p>
    <w:p>
      <w:pPr>
        <w:pStyle w:val="ListBullet"/>
      </w:pPr>
      <w:r>
        <w:rPr>
          <w:rFonts w:ascii="Aptos" w:hAnsi="Aptos"/>
        </w:rPr>
        <w:t>The Control Center reports a live database connection.</w:t>
      </w:r>
    </w:p>
    <w:p>
      <w:pPr>
        <w:pStyle w:val="ListBullet"/>
      </w:pPr>
      <w:r>
        <w:rPr>
          <w:rFonts w:ascii="Aptos" w:hAnsi="Aptos"/>
        </w:rPr>
        <w:t>A test transaction posts correctly and appears in its stock/accounting reports.</w:t>
      </w:r>
    </w:p>
    <w:p>
      <w:pPr>
        <w:pStyle w:val="ListBullet"/>
      </w:pPr>
      <w:r>
        <w:rPr>
          <w:rFonts w:ascii="Aptos" w:hAnsi="Aptos"/>
        </w:rPr>
        <w:t>Trial balance and reconciliation differences are zero.</w:t>
      </w:r>
    </w:p>
    <w:p>
      <w:pPr>
        <w:pStyle w:val="ListBullet"/>
      </w:pPr>
      <w:r>
        <w:rPr>
          <w:rFonts w:ascii="Aptos" w:hAnsi="Aptos"/>
        </w:rPr>
        <w:t>A recent backup exists and a restore drill has been completed in an isolated database.</w:t>
      </w:r>
    </w:p>
    <w:p>
      <w:r>
        <w:br w:type="page"/>
      </w:r>
    </w:p>
    <w:p>
      <w:pPr>
        <w:pStyle w:val="Heading1"/>
        <w:keepNext/>
      </w:pPr>
      <w:r>
        <w:t>10. Production readiness and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FFF7E6"/>
          </w:tcPr>
          <w:p>
            <w:pPr>
              <w:keepLines/>
              <w:spacing w:after="0"/>
            </w:pPr>
            <w:r>
              <w:rPr>
                <w:rFonts w:ascii="Aptos" w:hAnsi="Aptos"/>
                <w:b/>
                <w:color w:val="C58B1B"/>
                <w:sz w:val="18"/>
              </w:rPr>
              <w:t xml:space="preserve">CURRENT LIMITATION  </w:t>
            </w:r>
            <w:r>
              <w:rPr>
                <w:rFonts w:ascii="Aptos" w:hAnsi="Aptos"/>
                <w:b w:val="0"/>
                <w:color w:val="172033"/>
                <w:sz w:val="20"/>
              </w:rPr>
              <w:t>The repository documents Laravel 9 and an older PHP compatibility stack as end-of-life. Do not expose the current build to the public internet or use it for live production data until the runtime and framework are upgraded.</w:t>
            </w:r>
          </w:p>
        </w:tc>
      </w:tr>
    </w:tbl>
    <w:p>
      <w:pPr>
        <w:spacing w:after="20"/>
      </w:pPr>
    </w:p>
    <w:p>
      <w:pPr>
        <w:pStyle w:val="Heading2"/>
        <w:keepNext/>
      </w:pPr>
      <w:r>
        <w:t>Required before production</w:t>
      </w:r>
    </w:p>
    <w:p>
      <w:pPr>
        <w:pStyle w:val="ListBullet"/>
      </w:pPr>
      <w:r>
        <w:rPr>
          <w:rFonts w:ascii="Aptos" w:hAnsi="Aptos"/>
        </w:rPr>
        <w:t>Upgrade PHP/XAMPP and Laravel to supported versions; resolve dependency security advisories.</w:t>
      </w:r>
    </w:p>
    <w:p>
      <w:pPr>
        <w:pStyle w:val="ListBullet"/>
      </w:pPr>
      <w:r>
        <w:rPr>
          <w:rFonts w:ascii="Aptos" w:hAnsi="Aptos"/>
        </w:rPr>
        <w:t>Set APP_ENV=production and APP_DEBUG=false.</w:t>
      </w:r>
    </w:p>
    <w:p>
      <w:pPr>
        <w:pStyle w:val="ListBullet"/>
      </w:pPr>
      <w:r>
        <w:rPr>
          <w:rFonts w:ascii="Aptos" w:hAnsi="Aptos"/>
        </w:rPr>
        <w:t>Replace all seeded credentials and verify individual staff accounts and least-privilege permissions.</w:t>
      </w:r>
    </w:p>
    <w:p>
      <w:pPr>
        <w:pStyle w:val="ListBullet"/>
      </w:pPr>
      <w:r>
        <w:rPr>
          <w:rFonts w:ascii="Aptos" w:hAnsi="Aptos"/>
        </w:rPr>
        <w:t>Configure HTTPS, trusted hosts, secure cookies, and production email delivery.</w:t>
      </w:r>
    </w:p>
    <w:p>
      <w:pPr>
        <w:pStyle w:val="ListBullet"/>
      </w:pPr>
      <w:r>
        <w:rPr>
          <w:rFonts w:ascii="Aptos" w:hAnsi="Aptos"/>
        </w:rPr>
        <w:t>Run the complete automated test suite, migration checks, authorization tests, and reconciliation checks.</w:t>
      </w:r>
    </w:p>
    <w:p>
      <w:pPr>
        <w:pStyle w:val="ListBullet"/>
      </w:pPr>
      <w:r>
        <w:rPr>
          <w:rFonts w:ascii="Aptos" w:hAnsi="Aptos"/>
        </w:rPr>
        <w:t>Perform a checksum-verified backup and an isolated restore drill.</w:t>
      </w:r>
    </w:p>
    <w:p>
      <w:pPr>
        <w:pStyle w:val="ListBullet"/>
      </w:pPr>
      <w:r>
        <w:rPr>
          <w:rFonts w:ascii="Aptos" w:hAnsi="Aptos"/>
        </w:rPr>
        <w:t>Schedule the Laravel task runner every minute so the configured nightly backup can execute.</w:t>
      </w:r>
    </w:p>
    <w:p>
      <w:pPr>
        <w:pStyle w:val="ListBullet"/>
      </w:pPr>
      <w:r>
        <w:rPr>
          <w:rFonts w:ascii="Aptos" w:hAnsi="Aptos"/>
        </w:rPr>
        <w:t>Document backup retention, off-machine encryption, incident response, and authorized support contacts.</w:t>
      </w:r>
    </w:p>
    <w:p>
      <w:pPr>
        <w:pStyle w:val="Heading2"/>
        <w:keepNext/>
      </w:pPr>
      <w:r>
        <w:t>Troubleshooting approach</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tcMar>
              <w:top w:w="110" w:type="dxa"/>
              <w:start w:w="130" w:type="dxa"/>
              <w:bottom w:w="110" w:type="dxa"/>
              <w:end w:w="130" w:type="dxa"/>
            </w:tcMar>
            <w:vAlign w:val="center"/>
            <w:shd w:fill="102A50"/>
          </w:tcPr>
          <w:p>
            <w:pPr>
              <w:keepLines/>
              <w:spacing w:after="0"/>
            </w:pPr>
            <w:r>
              <w:rPr>
                <w:rFonts w:ascii="Aptos" w:hAnsi="Aptos"/>
                <w:b/>
                <w:color w:val="FFFFFF"/>
                <w:sz w:val="18"/>
              </w:rPr>
              <w:t>Symptom</w:t>
            </w:r>
          </w:p>
        </w:tc>
        <w:tc>
          <w:tcPr>
            <w:tcW w:type="dxa" w:w="6810"/>
            <w:tcMar>
              <w:top w:w="110" w:type="dxa"/>
              <w:start w:w="130" w:type="dxa"/>
              <w:bottom w:w="110" w:type="dxa"/>
              <w:end w:w="130" w:type="dxa"/>
            </w:tcMar>
            <w:vAlign w:val="center"/>
            <w:shd w:fill="102A50"/>
          </w:tcPr>
          <w:p>
            <w:pPr>
              <w:keepLines/>
              <w:spacing w:after="0"/>
            </w:pPr>
            <w:r>
              <w:rPr>
                <w:rFonts w:ascii="Aptos" w:hAnsi="Aptos"/>
                <w:b/>
                <w:color w:val="FFFFFF"/>
                <w:sz w:val="18"/>
              </w:rPr>
              <w:t>First checks</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Cannot sign in</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Confirm account is active, credentials are correct, throttling has elapsed, and the database is reachable.</w:t>
            </w:r>
          </w:p>
        </w:tc>
      </w:tr>
      <w:tr>
        <w:tc>
          <w:tcPr>
            <w:tcW w:type="dxa" w:w="2550"/>
            <w:shd w:fill="F6F8FB"/>
            <w:tcMar>
              <w:top w:w="110" w:type="dxa"/>
              <w:start w:w="130" w:type="dxa"/>
              <w:bottom w:w="110" w:type="dxa"/>
              <w:end w:w="130" w:type="dxa"/>
            </w:tcMar>
            <w:vAlign w:val="center"/>
          </w:tcPr>
          <w:p>
            <w:pPr>
              <w:keepLines/>
              <w:spacing w:after="0"/>
            </w:pPr>
            <w:r>
              <w:rPr>
                <w:rFonts w:ascii="Aptos" w:hAnsi="Aptos"/>
                <w:b/>
                <w:color w:val="172033"/>
                <w:sz w:val="18"/>
              </w:rPr>
              <w:t>Page is forbidden</w:t>
            </w:r>
          </w:p>
        </w:tc>
        <w:tc>
          <w:tcPr>
            <w:tcW w:type="dxa" w:w="6810"/>
            <w:shd w:fill="F6F8FB"/>
            <w:tcMar>
              <w:top w:w="110" w:type="dxa"/>
              <w:start w:w="130" w:type="dxa"/>
              <w:bottom w:w="110" w:type="dxa"/>
              <w:end w:w="130" w:type="dxa"/>
            </w:tcMar>
            <w:vAlign w:val="center"/>
          </w:tcPr>
          <w:p>
            <w:pPr>
              <w:keepLines/>
              <w:spacing w:after="0"/>
            </w:pPr>
            <w:r>
              <w:rPr>
                <w:rFonts w:ascii="Aptos" w:hAnsi="Aptos"/>
                <w:b w:val="0"/>
                <w:color w:val="172033"/>
                <w:sz w:val="18"/>
              </w:rPr>
              <w:t>Review the user role and required permission; do not bypass middleware.</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Database connection error</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Check DB host, port, database, user, password, and which database service owns the port.</w:t>
            </w:r>
          </w:p>
        </w:tc>
      </w:tr>
      <w:tr>
        <w:tc>
          <w:tcPr>
            <w:tcW w:type="dxa" w:w="2550"/>
            <w:shd w:fill="F6F8FB"/>
            <w:tcMar>
              <w:top w:w="110" w:type="dxa"/>
              <w:start w:w="130" w:type="dxa"/>
              <w:bottom w:w="110" w:type="dxa"/>
              <w:end w:w="130" w:type="dxa"/>
            </w:tcMar>
            <w:vAlign w:val="center"/>
          </w:tcPr>
          <w:p>
            <w:pPr>
              <w:keepLines/>
              <w:spacing w:after="0"/>
            </w:pPr>
            <w:r>
              <w:rPr>
                <w:rFonts w:ascii="Aptos" w:hAnsi="Aptos"/>
                <w:b/>
                <w:color w:val="172033"/>
                <w:sz w:val="18"/>
              </w:rPr>
              <w:t>Stock does not match</w:t>
            </w:r>
          </w:p>
        </w:tc>
        <w:tc>
          <w:tcPr>
            <w:tcW w:type="dxa" w:w="6810"/>
            <w:shd w:fill="F6F8FB"/>
            <w:tcMar>
              <w:top w:w="110" w:type="dxa"/>
              <w:start w:w="130" w:type="dxa"/>
              <w:bottom w:w="110" w:type="dxa"/>
              <w:end w:w="130" w:type="dxa"/>
            </w:tcMar>
            <w:vAlign w:val="center"/>
          </w:tcPr>
          <w:p>
            <w:pPr>
              <w:keepLines/>
              <w:spacing w:after="0"/>
            </w:pPr>
            <w:r>
              <w:rPr>
                <w:rFonts w:ascii="Aptos" w:hAnsi="Aptos"/>
                <w:b w:val="0"/>
                <w:color w:val="172033"/>
                <w:sz w:val="18"/>
              </w:rPr>
              <w:t>Review the product stock ledger, movements, counts, transfers, returns, and reconciliation report.</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Customer/supplier balance differs</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Review invoices, receipts/payments, allocations, advances, and control-account reconciliation.</w:t>
            </w:r>
          </w:p>
        </w:tc>
      </w:tr>
      <w:tr>
        <w:tc>
          <w:tcPr>
            <w:tcW w:type="dxa" w:w="2550"/>
            <w:shd w:fill="F6F8FB"/>
            <w:tcMar>
              <w:top w:w="110" w:type="dxa"/>
              <w:start w:w="130" w:type="dxa"/>
              <w:bottom w:w="110" w:type="dxa"/>
              <w:end w:w="130" w:type="dxa"/>
            </w:tcMar>
            <w:vAlign w:val="center"/>
          </w:tcPr>
          <w:p>
            <w:pPr>
              <w:keepLines/>
              <w:spacing w:after="0"/>
            </w:pPr>
            <w:r>
              <w:rPr>
                <w:rFonts w:ascii="Aptos" w:hAnsi="Aptos"/>
                <w:b/>
                <w:color w:val="172033"/>
                <w:sz w:val="18"/>
              </w:rPr>
              <w:t>Financial report differs</w:t>
            </w:r>
          </w:p>
        </w:tc>
        <w:tc>
          <w:tcPr>
            <w:tcW w:type="dxa" w:w="6810"/>
            <w:shd w:fill="F6F8FB"/>
            <w:tcMar>
              <w:top w:w="110" w:type="dxa"/>
              <w:start w:w="130" w:type="dxa"/>
              <w:bottom w:w="110" w:type="dxa"/>
              <w:end w:w="130" w:type="dxa"/>
            </w:tcMar>
            <w:vAlign w:val="center"/>
          </w:tcPr>
          <w:p>
            <w:pPr>
              <w:keepLines/>
              <w:spacing w:after="0"/>
            </w:pPr>
            <w:r>
              <w:rPr>
                <w:rFonts w:ascii="Aptos" w:hAnsi="Aptos"/>
                <w:b w:val="0"/>
                <w:color w:val="172033"/>
                <w:sz w:val="18"/>
              </w:rPr>
              <w:t>Confirm date filters, period status, posting state, journal balance, and source-document links.</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Backup failed</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Review destination access, database tools, logs, available disk space, and checksum status.</w:t>
            </w:r>
          </w:p>
        </w:tc>
      </w:tr>
    </w:tbl>
    <w:p>
      <w:pPr>
        <w:spacing w:after="20"/>
      </w:pPr>
    </w:p>
    <w:p>
      <w:pPr>
        <w:pStyle w:val="Heading2"/>
        <w:keepNext/>
      </w:pPr>
      <w:r>
        <w:t>Document scope</w:t>
      </w:r>
    </w:p>
    <w:p>
      <w:r>
        <w:rPr>
          <w:rFonts w:ascii="Aptos" w:hAnsi="Aptos"/>
        </w:rPr>
        <w:t>This guide explains the current system structure and operating model at a practical level. Detailed organization-specific policies - including approval limits, discount authority, credit limits, tax configuration, backup retention, and support ownership - should be added by management before formal rollout.</w:t>
      </w:r>
    </w:p>
    <w:p>
      <w:pPr>
        <w:pStyle w:val="Heading2"/>
        <w:keepNext/>
      </w:pPr>
      <w:r>
        <w:t>Quick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110" w:type="dxa"/>
              <w:start w:w="130" w:type="dxa"/>
              <w:bottom w:w="110" w:type="dxa"/>
              <w:end w:w="130" w:type="dxa"/>
            </w:tcMar>
            <w:vAlign w:val="center"/>
            <w:shd w:fill="102A50"/>
          </w:tcPr>
          <w:p>
            <w:pPr>
              <w:keepLines/>
              <w:spacing w:after="0"/>
            </w:pPr>
            <w:r>
              <w:rPr>
                <w:rFonts w:ascii="Aptos" w:hAnsi="Aptos"/>
                <w:b/>
                <w:color w:val="FFFFFF"/>
                <w:sz w:val="18"/>
              </w:rPr>
              <w:t>Term</w:t>
            </w:r>
          </w:p>
        </w:tc>
        <w:tc>
          <w:tcPr>
            <w:tcW w:type="dxa" w:w="6760"/>
            <w:tcMar>
              <w:top w:w="110" w:type="dxa"/>
              <w:start w:w="130" w:type="dxa"/>
              <w:bottom w:w="110" w:type="dxa"/>
              <w:end w:w="130" w:type="dxa"/>
            </w:tcMar>
            <w:vAlign w:val="center"/>
            <w:shd w:fill="102A50"/>
          </w:tcPr>
          <w:p>
            <w:pPr>
              <w:keepLines/>
              <w:spacing w:after="0"/>
            </w:pPr>
            <w:r>
              <w:rPr>
                <w:rFonts w:ascii="Aptos" w:hAnsi="Aptos"/>
                <w:b/>
                <w:color w:val="FFFFFF"/>
                <w:sz w:val="18"/>
              </w:rPr>
              <w:t>Meaning</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ERP</w:t>
            </w:r>
          </w:p>
        </w:tc>
        <w:tc>
          <w:tcPr>
            <w:tcW w:type="dxa" w:w="6760"/>
            <w:tcMar>
              <w:top w:w="110" w:type="dxa"/>
              <w:start w:w="130" w:type="dxa"/>
              <w:bottom w:w="110" w:type="dxa"/>
              <w:end w:w="130" w:type="dxa"/>
            </w:tcMar>
            <w:vAlign w:val="center"/>
          </w:tcPr>
          <w:p>
            <w:pPr>
              <w:keepLines/>
              <w:spacing w:after="0"/>
            </w:pPr>
            <w:r>
              <w:rPr>
                <w:rFonts w:ascii="Aptos" w:hAnsi="Aptos"/>
                <w:b w:val="0"/>
                <w:color w:val="172033"/>
                <w:sz w:val="18"/>
              </w:rPr>
              <w:t>Integrated system for operational and financial business processes.</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GRN</w:t>
            </w:r>
          </w:p>
        </w:tc>
        <w:tc>
          <w:tcPr>
            <w:tcW w:type="dxa" w:w="6760"/>
            <w:shd w:fill="F6F8FB"/>
            <w:tcMar>
              <w:top w:w="110" w:type="dxa"/>
              <w:start w:w="130" w:type="dxa"/>
              <w:bottom w:w="110" w:type="dxa"/>
              <w:end w:w="130" w:type="dxa"/>
            </w:tcMar>
            <w:vAlign w:val="center"/>
          </w:tcPr>
          <w:p>
            <w:pPr>
              <w:keepLines/>
              <w:spacing w:after="0"/>
            </w:pPr>
            <w:r>
              <w:rPr>
                <w:rFonts w:ascii="Aptos" w:hAnsi="Aptos"/>
                <w:b w:val="0"/>
                <w:color w:val="172033"/>
                <w:sz w:val="18"/>
              </w:rPr>
              <w:t>Goods Received Note confirming quantities received from a supplier.</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AR / AP</w:t>
            </w:r>
          </w:p>
        </w:tc>
        <w:tc>
          <w:tcPr>
            <w:tcW w:type="dxa" w:w="6760"/>
            <w:tcMar>
              <w:top w:w="110" w:type="dxa"/>
              <w:start w:w="130" w:type="dxa"/>
              <w:bottom w:w="110" w:type="dxa"/>
              <w:end w:w="130" w:type="dxa"/>
            </w:tcMar>
            <w:vAlign w:val="center"/>
          </w:tcPr>
          <w:p>
            <w:pPr>
              <w:keepLines/>
              <w:spacing w:after="0"/>
            </w:pPr>
            <w:r>
              <w:rPr>
                <w:rFonts w:ascii="Aptos" w:hAnsi="Aptos"/>
                <w:b w:val="0"/>
                <w:color w:val="172033"/>
                <w:sz w:val="18"/>
              </w:rPr>
              <w:t>Accounts Receivable / Accounts Payable.</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Weighted-average cost</w:t>
            </w:r>
          </w:p>
        </w:tc>
        <w:tc>
          <w:tcPr>
            <w:tcW w:type="dxa" w:w="6760"/>
            <w:shd w:fill="F6F8FB"/>
            <w:tcMar>
              <w:top w:w="110" w:type="dxa"/>
              <w:start w:w="130" w:type="dxa"/>
              <w:bottom w:w="110" w:type="dxa"/>
              <w:end w:w="130" w:type="dxa"/>
            </w:tcMar>
            <w:vAlign w:val="center"/>
          </w:tcPr>
          <w:p>
            <w:pPr>
              <w:keepLines/>
              <w:spacing w:after="0"/>
            </w:pPr>
            <w:r>
              <w:rPr>
                <w:rFonts w:ascii="Aptos" w:hAnsi="Aptos"/>
                <w:b w:val="0"/>
                <w:color w:val="172033"/>
                <w:sz w:val="18"/>
              </w:rPr>
              <w:t>Inventory cost recalculated from existing and incoming quantity and value.</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Posting</w:t>
            </w:r>
          </w:p>
        </w:tc>
        <w:tc>
          <w:tcPr>
            <w:tcW w:type="dxa" w:w="6760"/>
            <w:tcMar>
              <w:top w:w="110" w:type="dxa"/>
              <w:start w:w="130" w:type="dxa"/>
              <w:bottom w:w="110" w:type="dxa"/>
              <w:end w:w="130" w:type="dxa"/>
            </w:tcMar>
            <w:vAlign w:val="center"/>
          </w:tcPr>
          <w:p>
            <w:pPr>
              <w:keepLines/>
              <w:spacing w:after="0"/>
            </w:pPr>
            <w:r>
              <w:rPr>
                <w:rFonts w:ascii="Aptos" w:hAnsi="Aptos"/>
                <w:b w:val="0"/>
                <w:color w:val="172033"/>
                <w:sz w:val="18"/>
              </w:rPr>
              <w:t>Final controlled action that commits operational and/or accounting effects.</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Reconciliation</w:t>
            </w:r>
          </w:p>
        </w:tc>
        <w:tc>
          <w:tcPr>
            <w:tcW w:type="dxa" w:w="6760"/>
            <w:shd w:fill="F6F8FB"/>
            <w:tcMar>
              <w:top w:w="110" w:type="dxa"/>
              <w:start w:w="130" w:type="dxa"/>
              <w:bottom w:w="110" w:type="dxa"/>
              <w:end w:w="130" w:type="dxa"/>
            </w:tcMar>
            <w:vAlign w:val="center"/>
          </w:tcPr>
          <w:p>
            <w:pPr>
              <w:keepLines/>
              <w:spacing w:after="0"/>
            </w:pPr>
            <w:r>
              <w:rPr>
                <w:rFonts w:ascii="Aptos" w:hAnsi="Aptos"/>
                <w:b w:val="0"/>
                <w:color w:val="172033"/>
                <w:sz w:val="18"/>
              </w:rPr>
              <w:t>Comparison of detailed records with control totals to find differences.</w:t>
            </w:r>
          </w:p>
        </w:tc>
      </w:tr>
    </w:tbl>
    <w:p>
      <w:pPr>
        <w:spacing w:after="20"/>
      </w:pP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E6B7A"/>
        <w:sz w:val="16"/>
      </w:rPr>
      <w:t xml:space="preserve">System Guide  |  September 2026  |  Page </w:t>
    </w:r>
    <w:r>
      <w:rPr>
        <w:rFonts w:ascii="Aptos" w:hAnsi="Aptos"/>
        <w:b w:val="0"/>
        <w:color w:val="5E6B7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5DEEA"/>
      </w:pBdr>
    </w:pPr>
    <w:r>
      <w:rPr>
        <w:rFonts w:ascii="Aptos" w:hAnsi="Aptos"/>
        <w:b/>
        <w:color w:val="102A50"/>
        <w:sz w:val="17"/>
      </w:rPr>
      <w:t>CAMY SMART  |  A COMPANY OF SUPUN GROUP OF COMPANIES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02A5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2"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Camy Smart - System Guide</dc:title>
  <dc:subject>ERP system overview, workflows, controls, and operating guidance</dc:subject>
  <dc:creator>Camy Smart</dc:creator>
  <cp:keywords>ERP, sales, inventory, accounting, operations, system guide</cp:keywords>
  <dc:description>generated by python-docx</dc:description>
  <cp:lastModifiedBy/>
  <cp:revision>1</cp:revision>
  <dcterms:created xsi:type="dcterms:W3CDTF">2013-12-23T23:15:00Z</dcterms:created>
  <dcterms:modified xsi:type="dcterms:W3CDTF">2013-12-23T23:15:00Z</dcterms:modified>
  <cp:category/>
</cp:coreProperties>
</file>