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63e9553cb2ba1a4ab98a7ff4d0bae9b868293c"/>
    <w:p>
      <w:pPr>
        <w:pStyle w:val="Heading1"/>
      </w:pPr>
      <w:r>
        <w:rPr>
          <w:rFonts w:hint="eastAsia"/>
        </w:rPr>
        <w:t xml:space="preserve">処方は渡ったが思考は渡らなかった——漢方関連文献10,535件のテキストマイニングによる認知ギャップの定量化</w:t>
      </w:r>
    </w:p>
    <w:p>
      <w:pPr>
        <w:pStyle w:val="FirstParagraph"/>
      </w:pPr>
      <w:r>
        <w:rPr>
          <w:rFonts w:hint="eastAsia"/>
        </w:rPr>
        <w:t xml:space="preserve">華岡晃生¹²、小川恵子²</w:t>
      </w:r>
    </w:p>
    <w:p>
      <w:pPr>
        <w:pStyle w:val="Compact"/>
        <w:numPr>
          <w:ilvl w:val="0"/>
          <w:numId w:val="1001"/>
        </w:numPr>
      </w:pPr>
      <w:r>
        <w:rPr>
          <w:rFonts w:hint="eastAsia"/>
        </w:rPr>
        <w:t xml:space="preserve">公立穴水総合病院内科</w:t>
      </w:r>
    </w:p>
    <w:p>
      <w:pPr>
        <w:pStyle w:val="Compact"/>
        <w:numPr>
          <w:ilvl w:val="0"/>
          <w:numId w:val="1001"/>
        </w:numPr>
      </w:pPr>
      <w:r>
        <w:rPr>
          <w:rFonts w:hint="eastAsia"/>
        </w:rPr>
        <w:t xml:space="preserve">広島大学病院漢方診療センター</w:t>
      </w:r>
    </w:p>
    <w:p>
      <w:r>
        <w:pict>
          <v:rect style="width:0;height:1.5pt" o:hralign="center" o:hrstd="t" o:hr="t"/>
        </w:pict>
      </w:r>
    </w:p>
    <w:bookmarkStart w:id="9" w:name="緒言"/>
    <w:p>
      <w:pPr>
        <w:pStyle w:val="Heading2"/>
      </w:pPr>
      <w:r>
        <w:rPr>
          <w:rFonts w:hint="eastAsia"/>
        </w:rPr>
        <w:t xml:space="preserve">緒言</w:t>
      </w:r>
    </w:p>
    <w:p>
      <w:pPr>
        <w:pStyle w:val="FirstParagraph"/>
      </w:pPr>
      <w:r>
        <w:rPr>
          <w:rFonts w:hint="eastAsia"/>
        </w:rPr>
        <w:t xml:space="preserve">日本では148種の漢方エキス製剤が保険適用されており、すべての医師が処方可能である[1]。Unedaらが2024年に実施した医師652名を対象としたオンライン調査では、回答者の86.7%が漢方薬を現在処方しており、処方経験がまったくない医師はわずか3.8%であった[2]。伝統医学と近代医学が同一の保険制度のもとで併存するこの環境は、世界的にみてほぼ類をみない。しかし同調査では、漢方薬を処方している医師の48.3%が伝統的な診断パターンである証（しょう）を使用していないことが明らかになった[2]。また、各医師が処方する漢方製剤は10種未満にとどまり、対応する疾患も限られていた[2]。</w:t>
      </w:r>
    </w:p>
    <w:p>
      <w:pPr>
        <w:pStyle w:val="BodyText"/>
      </w:pPr>
      <w:r>
        <w:rPr>
          <w:rFonts w:hint="eastAsia"/>
        </w:rPr>
        <w:t xml:space="preserve">この数値が示すのは、漢方薬が治療法（modality）としては広く普及しているにもかかわらず、漢方医学の診断・治療の思考体系（cognition）はそれに伴って共有されていないという構造的な乖離である。処方は渡ったが、思考は渡らなかった。本論文ではこの乖離を「認知ギャップ」と呼ぶ。</w:t>
      </w:r>
    </w:p>
    <w:p>
      <w:pPr>
        <w:pStyle w:val="BodyText"/>
      </w:pPr>
      <w:r>
        <w:rPr>
          <w:rFonts w:hint="eastAsia"/>
        </w:rPr>
        <w:t xml:space="preserve">漢方医学における認知、すなわち証に基づく思考は、臨床上無視できない実質的意味を持つ。第一に、治療効果への影響がある。Tominagaらは機能性ディスペプシアに対する六君子湯の文献レビューにおいて、虚証の患者群で効果が増強されることを報告しており[3]、証に基づく患者選択が治療反応性を左右しうることを示唆している。第二に、安全性の問題がある。1990年代に小柴胡湯による間質性肺炎が社会問題となった際、証を考慮しない広範な処方が被害拡大の一因とされた。剖検例の報告では、小柴胡湯の適応とならない病態に処方が行われた事例が記録されている[4]。証の判断を欠いた処方は、効果の減弱にとどまらず、有害事象の発生にも関与しうる。第三に、研究デザインへの影響がある。Motooらは378件の漢方製剤のランダム化比較試験（RCT）を系統的にレビューし、ランダム化前に漢方診断（証）を組み込んでいたRCTはわずか7.1%であったと報告した[5]。84.7%のRCTでは漢方診断がまったく使用されておらず、西洋医学的な疾患名のみに基づいて漢方薬の有効性が評価されていた[5]。これは漢方薬固有の論理に沿った評価がなされていないことを意味し、否定的な結果が出た場合に、その原因が薬剤の無効性にあるのか、対象選択の不適切さにあるのかを区別できない。以上のように、証に基づく思考の有無は、個々の患者の治療成績、安全性、そして漢方医学全体のエビデンス構築の質に関わる。認知ギャップは学術的な関心事にとどまらず、臨床的に実質的な帰結を伴う問題である。</w:t>
      </w:r>
    </w:p>
    <w:p>
      <w:pPr>
        <w:pStyle w:val="BodyText"/>
      </w:pPr>
      <w:r>
        <w:rPr>
          <w:rFonts w:hint="eastAsia"/>
        </w:rPr>
        <w:t xml:space="preserve">認知ギャップの実態を把握するにあたり、本研究は学術文献のテキストを分析対象とした。学術文献は、著者が読者を想定して自らの臨床的思考を明示的に記述する媒体である。診療録が個別の患者との対話であるのに対し、学術文献は専門家コミュニティに向けた公的な言説（discourse）である。ある医学的概念が文献のテキストに出現するか否かは、その概念がコミュニティの中で共有され、伝達に値するものとして位置づけられているかどうかの指標となる。逆に、ある概念がテキストから系統的に欠落しているならば、それはその概念がコミュニティの言説の中で周縁化されている可能性を示唆する。もちろん、テキストに記述がないことが著者の頭の中にその認知がないことを直接意味するわけではない。この限界は考察で論じる。しかし、学術文献が教育・研究における知識伝達の主要な媒体であることを考えれば、テキスト上の認知の欠落は、次世代への知識継承における欠落と連動しうる。文献に書かれていない思考は、文献を通じて学ぶ者には伝わらない。</w:t>
      </w:r>
    </w:p>
    <w:p>
      <w:pPr>
        <w:pStyle w:val="BodyText"/>
      </w:pPr>
      <w:r>
        <w:rPr>
          <w:rFonts w:hint="eastAsia"/>
        </w:rPr>
        <w:t xml:space="preserve">漢方医学の研究方法論をめぐっては、EBMの枠組みの中でどのようにエビデンスを構築すべきかという議論が長く続いてきた。日本東洋医学会のEBM委員会は2007年以降、漢方治療のエビデンスレポート（EKAT）を作成し、RCTの構造化抄録の蓄積を進めてきた[5,6]。一方で、漢方医学のエビデンスにおける症例報告の位置づけも重要な論点である。EBMのエビデンスピラミッドにおいて症例報告は最下層に位置するが、漢方医学においては症例報告が独自の意義を持つ。個々の患者の証を詳細に記述し、証と処方の対応関係を具体的に示す症例報告は、漢方の臨床推論を記録し伝達する媒体として欠かせない。RCTが集団レベルでの効果を検証する設計であるのに対し、症例報告は個別の患者における思考過程を記述する設計であり、両者は補完的な関係にある。しかし、症例報告が漢方の思考を伝達する媒体として機能するためには、そこに思考の内容が実際に記述されていなければならない。処方名と疾患名のみを列記し、証や気血水といった漢方医学固有の概念への言及を欠く症例報告は、形式として存在していても、認知の伝達という機能を果たしていない。認知ギャップは論文タイプを問わず生じうるが、症例報告において生じた場合の損失はとりわけ大きい。</w:t>
      </w:r>
    </w:p>
    <w:p>
      <w:pPr>
        <w:pStyle w:val="BodyText"/>
      </w:pPr>
      <w:r>
        <w:rPr>
          <w:rFonts w:hint="eastAsia"/>
        </w:rPr>
        <w:t xml:space="preserve">以上の背景から、本研究は漢方医学関連の学術文献を対象に、処方名への言及と漢方思考概念への言及の乖離を定量的に把握することを目的とした。具体的には、以下の3つの研究課題を設定した。RQ1：漢方関連文献において、処方名に言及しながら漢方思考概念（証、気血水、古典的病態概念、漢方診察法、認識論的概念）に言及しない論文の割合はどの程度か。RQ2：この認知ギャップの大きさは、日本語文献（東洋医学雑誌）と英語文献（PubMed収載の日本発論文）の間でどのように異なるか。RQ3：認知ギャップの大きさは論文タイプ（症例報告</w:t>
      </w:r>
      <w:r>
        <w:t xml:space="preserve"> vs </w:t>
      </w:r>
      <w:r>
        <w:rPr>
          <w:rFonts w:hint="eastAsia"/>
        </w:rPr>
        <w:t xml:space="preserve">非症例報告）によって異なるか。</w:t>
      </w:r>
    </w:p>
    <w:p>
      <w:r>
        <w:pict>
          <v:rect style="width:0;height:1.5pt" o:hralign="center" o:hrstd="t" o:hr="t"/>
        </w:pict>
      </w:r>
    </w:p>
    <w:bookmarkEnd w:id="9"/>
    <w:bookmarkStart w:id="21" w:name="方法"/>
    <w:p>
      <w:pPr>
        <w:pStyle w:val="Heading2"/>
      </w:pPr>
      <w:r>
        <w:rPr>
          <w:rFonts w:hint="eastAsia"/>
        </w:rPr>
        <w:t xml:space="preserve">方法</w:t>
      </w:r>
    </w:p>
    <w:bookmarkStart w:id="10" w:name="研究デザイン"/>
    <w:p>
      <w:pPr>
        <w:pStyle w:val="Heading3"/>
      </w:pPr>
      <w:r>
        <w:t xml:space="preserve">1. </w:t>
      </w:r>
      <w:r>
        <w:rPr>
          <w:rFonts w:hint="eastAsia"/>
        </w:rPr>
        <w:t xml:space="preserve">研究デザイン</w:t>
      </w:r>
    </w:p>
    <w:p>
      <w:pPr>
        <w:pStyle w:val="FirstParagraph"/>
      </w:pPr>
      <w:r>
        <w:rPr>
          <w:rFonts w:hint="eastAsia"/>
        </w:rPr>
        <w:t xml:space="preserve">本研究は、漢方医学関連の学術文献を対象としたテキストマイニングによる横断的記述研究である。既公開文献のメタデータ（タイトルおよび抄録）を分析対象とし、処方名への言及と漢方思考概念への言及の共起パターンを定量的に記述した。</w:t>
      </w:r>
    </w:p>
    <w:p>
      <w:pPr>
        <w:pStyle w:val="BodyText"/>
      </w:pPr>
      <w:r>
        <w:rPr>
          <w:rFonts w:hint="eastAsia"/>
        </w:rPr>
        <w:t xml:space="preserve">本研究における「漢方の認知」の操作的定義を以下に示す。漢方の認知とは、後述する漢方思考概念辞書（辞書B）に含まれる5カテゴリの用語が、論文のタイトルまたは抄録のテキスト上に出現することをいう。これは著者の臨床的思考そのものの直接的な測定ではなく、テキスト上の表出の検出である。この区別の含意については考察で論じる。</w:t>
      </w:r>
    </w:p>
    <w:bookmarkEnd w:id="10"/>
    <w:bookmarkStart w:id="11" w:name="データベースの構築"/>
    <w:p>
      <w:pPr>
        <w:pStyle w:val="Heading3"/>
      </w:pPr>
      <w:r>
        <w:t xml:space="preserve">2. </w:t>
      </w:r>
      <w:r>
        <w:rPr>
          <w:rFonts w:hint="eastAsia"/>
        </w:rPr>
        <w:t xml:space="preserve">データベースの構築</w:t>
      </w:r>
    </w:p>
    <w:p>
      <w:pPr>
        <w:pStyle w:val="FirstParagraph"/>
      </w:pPr>
      <w:r>
        <w:rPr>
          <w:rFonts w:hint="eastAsia"/>
        </w:rPr>
        <w:t xml:space="preserve">日本語文献と英語文献を統合したデータベースを構築した。</w:t>
      </w:r>
    </w:p>
    <w:p>
      <w:pPr>
        <w:pStyle w:val="BodyText"/>
      </w:pPr>
      <w:r>
        <w:rPr>
          <w:rFonts w:hint="eastAsia"/>
        </w:rPr>
        <w:t xml:space="preserve">日本語文献については、J-STAGE</w:t>
      </w:r>
      <w:r>
        <w:t xml:space="preserve"> </w:t>
      </w:r>
      <w:r>
        <w:rPr>
          <w:rFonts w:hint="eastAsia"/>
        </w:rPr>
        <w:t xml:space="preserve">WebAPIを用いて日本東洋医学雑誌（ISSN</w:t>
      </w:r>
      <w:r>
        <w:t xml:space="preserve"> </w:t>
      </w:r>
      <w:r>
        <w:rPr>
          <w:rFonts w:hint="eastAsia"/>
        </w:rPr>
        <w:t xml:space="preserve">0287-4857、2,003件、1982〜2025年）の全収録記事を2026年3月24日に取得した。APIレスポンスに抄録が含まれない記事については、個別記事ページのHTMLから抄録を取得した。包含基準は対象誌のJ-STAGE収録全記事とし、除外基準は設けなかった。全日本鍼灸学会雑誌（ISSN</w:t>
      </w:r>
      <w:r>
        <w:t xml:space="preserve"> </w:t>
      </w:r>
      <w:r>
        <w:rPr>
          <w:rFonts w:hint="eastAsia"/>
        </w:rPr>
        <w:t xml:space="preserve">0285-9955、650件、2007〜2025年）も同様に取得したが、鍼灸を主題とする同誌は漢方処方名への言及率が構造的に低いため（方剤名検出率0.5%）、主解析からは除外した。同誌のデータベース構築過程はオンラインリポジトリに記録した。</w:t>
      </w:r>
    </w:p>
    <w:p>
      <w:pPr>
        <w:pStyle w:val="BodyText"/>
      </w:pPr>
      <w:r>
        <w:rPr>
          <w:rFonts w:hint="eastAsia"/>
        </w:rPr>
        <w:t xml:space="preserve">英語文献については、2026年3月26日にNCBI</w:t>
      </w:r>
      <w:r>
        <w:t xml:space="preserve"> </w:t>
      </w:r>
      <w:r>
        <w:rPr>
          <w:rFonts w:hint="eastAsia"/>
        </w:rPr>
        <w:t xml:space="preserve">E-utilities（PubMed）を用い、期間制限なしで検索した。検索戦略は3層17サブクエリで構成した。Layer</w:t>
      </w:r>
      <w:r>
        <w:t xml:space="preserve"> </w:t>
      </w:r>
      <w:r>
        <w:rPr>
          <w:rFonts w:hint="eastAsia"/>
        </w:rPr>
        <w:t xml:space="preserve">1（5サブクエリ）は漢方のキーワード・MeSH用語・主要処方名（ローマ字表記）・ツムラ製品番号を用いたコア漢方研究の検索、Layer</w:t>
      </w:r>
      <w:r>
        <w:t xml:space="preserve"> </w:t>
      </w:r>
      <w:r>
        <w:rPr>
          <w:rFonts w:hint="eastAsia"/>
        </w:rPr>
        <w:t xml:space="preserve">2（1サブクエリ）は日本所属を条件とした鍼灸研究の検索、Layer</w:t>
      </w:r>
      <w:r>
        <w:t xml:space="preserve"> </w:t>
      </w:r>
      <w:r>
        <w:rPr>
          <w:rFonts w:hint="eastAsia"/>
        </w:rPr>
        <w:t xml:space="preserve">3（11サブクエリ）は生薬学・薬理学・基礎研究の検索とした。検索式の全文はオンラインリポジトリで公開した[★GitHub</w:t>
      </w:r>
      <w:r>
        <w:t xml:space="preserve"> URL]。</w:t>
      </w:r>
    </w:p>
    <w:p>
      <w:pPr>
        <w:pStyle w:val="BodyText"/>
      </w:pPr>
      <w:r>
        <w:rPr>
          <w:rFonts w:hint="eastAsia"/>
        </w:rPr>
        <w:t xml:space="preserve">PubMed検索結果はPMIDで重複排除した（延べ19,914件→11,682件）。Layer</w:t>
      </w:r>
      <w:r>
        <w:t xml:space="preserve"> </w:t>
      </w:r>
      <w:r>
        <w:rPr>
          <w:rFonts w:hint="eastAsia"/>
        </w:rPr>
        <w:t xml:space="preserve">3のみにヒットした論文は、タイトル・抄録・MeSH用語に関連性辞書（60語以上）のいずれかを含む場合のみ保持し、それ以外はノイズとして除外した（2,489件除去）。主なノイズ源は、雑誌略称の衝突（JPS→Journal</w:t>
      </w:r>
      <w:r>
        <w:t xml:space="preserve"> of Physiological </w:t>
      </w:r>
      <w:r>
        <w:rPr>
          <w:rFonts w:hint="eastAsia"/>
        </w:rPr>
        <w:t xml:space="preserve">Sciences）および著者姓の衝突（Tsumura,</w:t>
      </w:r>
      <w:r>
        <w:t xml:space="preserve"> </w:t>
      </w:r>
      <w:r>
        <w:rPr>
          <w:rFonts w:hint="eastAsia"/>
        </w:rPr>
        <w:t xml:space="preserve">Kotaro）であった。J-STAGEとPubMedの間のDOIベースの突き合わせでは重複は0件であり、両ソースは完全に相補的であった。</w:t>
      </w:r>
    </w:p>
    <w:p>
      <w:pPr>
        <w:pStyle w:val="BodyText"/>
      </w:pPr>
      <w:r>
        <w:rPr>
          <w:rFonts w:hint="eastAsia"/>
        </w:rPr>
        <w:t xml:space="preserve">初期データベース（11,846件）から、PubMed論文のaffiliationフィールドに基づき、筆頭著者の所属が中国（957件）、韓国（273件）、台湾（78件）、香港（3件）の論文を除外した。MeSH用語</w:t>
      </w:r>
      <w:r>
        <w:t xml:space="preserve"> </w:t>
      </w:r>
      <w:r>
        <w:t xml:space="preserve">“Medicine, East Asian Traditional”</w:t>
      </w:r>
      <w:r>
        <w:t xml:space="preserve"> </w:t>
      </w:r>
      <w:r>
        <w:rPr>
          <w:rFonts w:hint="eastAsia"/>
        </w:rPr>
        <w:t xml:space="preserve">は日中韓を区別しないため、漢方研究と中医学（TCM）研究の分離にはこの手順が必要であった。以上の手順により、日本発の漢方医学関連文献10,535件からなるデータベースを構築した。本研究の主たる分析対象は、日本東洋医学雑誌（kampo群：2,003件）と日本発PubMed漢方論文（pubmed_kampo群：4,836件）の2群である。</w:t>
      </w:r>
    </w:p>
    <w:bookmarkEnd w:id="11"/>
    <w:bookmarkStart w:id="15" w:name="辞書の構築"/>
    <w:p>
      <w:pPr>
        <w:pStyle w:val="Heading3"/>
      </w:pPr>
      <w:r>
        <w:t xml:space="preserve">3. </w:t>
      </w:r>
      <w:r>
        <w:rPr>
          <w:rFonts w:hint="eastAsia"/>
        </w:rPr>
        <w:t xml:space="preserve">辞書の構築</w:t>
      </w:r>
    </w:p>
    <w:bookmarkStart w:id="12" w:name="処方名辞書辞書a"/>
    <w:p>
      <w:pPr>
        <w:pStyle w:val="Heading4"/>
      </w:pPr>
      <w:r>
        <w:rPr>
          <w:rFonts w:hint="eastAsia"/>
        </w:rPr>
        <w:t xml:space="preserve">処方名辞書（辞書A）</w:t>
      </w:r>
    </w:p>
    <w:p>
      <w:pPr>
        <w:pStyle w:val="FirstParagraph"/>
      </w:pPr>
      <w:r>
        <w:rPr>
          <w:rFonts w:hint="eastAsia"/>
        </w:rPr>
        <w:t xml:space="preserve">ツムラ医療用漢方製剤128処方（番号体系TJ-001〜TJ-138、欠番10品目）に加え、日本東洋医学雑誌で頻出する古方・後世方134処方を収録し、合計262方剤（表記揺れを含むエイリアス付き）の辞書を構築した。PubMed論文に対してはローマ字表記（日本式ローマ字）での検出を行った。抽出アルゴリズムは最長一致優先法を採用し、部分文字列の衝突を防ぐ除外辞書（50語以上）を併用した。</w:t>
      </w:r>
    </w:p>
    <w:bookmarkEnd w:id="12"/>
    <w:bookmarkStart w:id="13" w:name="漢方思考概念辞書辞書b設計思想"/>
    <w:p>
      <w:pPr>
        <w:pStyle w:val="Heading4"/>
      </w:pPr>
      <w:r>
        <w:rPr>
          <w:rFonts w:hint="eastAsia"/>
        </w:rPr>
        <w:t xml:space="preserve">漢方思考概念辞書（辞書B）：設計思想</w:t>
      </w:r>
    </w:p>
    <w:p>
      <w:pPr>
        <w:pStyle w:val="FirstParagraph"/>
      </w:pPr>
      <w:r>
        <w:rPr>
          <w:rFonts w:hint="eastAsia"/>
        </w:rPr>
        <w:t xml:space="preserve">漢方医学の臨床において、処方の選択は証の判断に基づく。証とは、個々の患者の症状・体質・病態を漢方医学の枠組みで総合的に把握した状態像であり、同じ疾患名であっても証が異なれば処方が変わる。この「証に基づく個別化」が漢方医学の思考体系の核心であるとするならば、文献上で処方名に言及しながらも証やそれを構成する概念に言及しない論文は、処方の根拠となった思考過程をテキスト上に記録していないことになる。</w:t>
      </w:r>
    </w:p>
    <w:p>
      <w:pPr>
        <w:pStyle w:val="BodyText"/>
      </w:pPr>
      <w:r>
        <w:rPr>
          <w:rFonts w:hint="eastAsia"/>
        </w:rPr>
        <w:t xml:space="preserve">辞書Bは、この思考過程を構成する概念群を5つのカテゴリに整理して構築した。T1（証の枠組み：証、弁証、方証相対、虚実、陰陽、寒熱、表裏等）は漢方医学の状態評価における基本座標軸である。T2（気血水の病態論：気虚、血虚、気滞、瘀血、水滞、水毒、血熱等）は漢方医学の病態把握の基盤であり、処方の多くは気血水の偏りを是正する目的で構成されている。T3（古典的病態概念：太陽病、少陽病、陽明病、太陰病、少陰病、厥陰病等）は傷寒論の六経弁証に由来する病態分類である。T4（漢方診察法：腹診、腹証、舌診、脈診、胸脇苦満、心下痞鞕、臍上悸等）は漢方医学に固有の身体診察所見に関する用語である。ただし、「随証治療」のように処方名と共起せず総論的にのみ使用される記述を除外するため、T4カテゴリの一部の用語には処方名との共起を検出条件とする規則を導入した。T5（認識論的概念：心身一如、未病、養生、治未病等）は漢方医学の疾病観・健康観を反映する用語である。</w:t>
      </w:r>
    </w:p>
    <w:p>
      <w:pPr>
        <w:pStyle w:val="BodyText"/>
      </w:pPr>
      <w:r>
        <w:rPr>
          <w:rFonts w:hint="eastAsia"/>
        </w:rPr>
        <w:t xml:space="preserve">以上の5カテゴリは、漢方医学の臨床推論を「状態評価の座標（T1）→病態把握の言語（T2）→古典的文脈への位置づけ（T3）→身体診察による裏付け（T4）→背景にある疾病観（T5）」として捉えたものである。辞書の全語リストは附表1に示す。</w:t>
      </w:r>
    </w:p>
    <w:p>
      <w:pPr>
        <w:pStyle w:val="BodyText"/>
      </w:pPr>
      <w:r>
        <w:rPr>
          <w:rFonts w:hint="eastAsia"/>
        </w:rPr>
        <w:t xml:space="preserve">辞書Bの境界設定に伴う恣意性に対処するため、3段階の辞書を構築した。Liberal版は「冷え」「浮腫」「便秘」など西洋医学と共有される症候語も含む広義の辞書、Conservative版（主解析に使用）は漢方医学に固有の概念語のみを含む辞書、Strict版はConservative版からさらに境界的な用語を除外した厳格な辞書である。</w:t>
      </w:r>
    </w:p>
    <w:bookmarkEnd w:id="13"/>
    <w:bookmarkStart w:id="14" w:name="辞書の品質保証サンプリング検証"/>
    <w:p>
      <w:pPr>
        <w:pStyle w:val="Heading4"/>
      </w:pPr>
      <w:r>
        <w:rPr>
          <w:rFonts w:hint="eastAsia"/>
        </w:rPr>
        <w:t xml:space="preserve">辞書の品質保証：サンプリング検証</w:t>
      </w:r>
    </w:p>
    <w:p>
      <w:pPr>
        <w:pStyle w:val="FirstParagraph"/>
      </w:pPr>
      <w:r>
        <w:rPr>
          <w:rFonts w:hint="eastAsia"/>
        </w:rPr>
        <w:t xml:space="preserve">辞書マッチングの妥当性を評価するため、4象限（後述）それぞれから10件ずつ、計40件をランダムに抽出し、原文を人手で確認した。確認者は筆頭著者（総合診療医、漢方専門医）である。検証の過程で以下の問題が発見された。(1)</w:t>
      </w:r>
      <w:r>
        <w:t xml:space="preserve"> </w:t>
      </w:r>
      <w:r>
        <w:rPr>
          <w:rFonts w:hint="eastAsia"/>
        </w:rPr>
        <w:t xml:space="preserve">辞書Bの偽陰性：奔豚・煩躁など未収録の漢方概念語が7語あり、追加した。(2)</w:t>
      </w:r>
      <w:r>
        <w:t xml:space="preserve"> </w:t>
      </w:r>
      <w:r>
        <w:rPr>
          <w:rFonts w:hint="eastAsia"/>
        </w:rPr>
        <w:t xml:space="preserve">文字化け：「瘀血」の表記が一部の記事で文字化けしており、42件について正規化を行った。(3)</w:t>
      </w:r>
      <w:r>
        <w:t xml:space="preserve"> </w:t>
      </w:r>
      <w:r>
        <w:rPr>
          <w:rFonts w:hint="eastAsia"/>
        </w:rPr>
        <w:t xml:space="preserve">スローガン的使用の偽陽性：「随証治療」が処方名と共起せず総論的にのみ使用されている記述がQ1（思考あり）に誤分類されていたため、前述の共起ルール（T4）を導入した。(4)</w:t>
      </w:r>
      <w:r>
        <w:t xml:space="preserve"> </w:t>
      </w:r>
      <w:r>
        <w:rPr>
          <w:rFonts w:hint="eastAsia"/>
        </w:rPr>
        <w:t xml:space="preserve">非日本研究の混入：C群（Q3、pubmed_kampo）のサンプル10件中4件が中国TCM研究であり、前述のaffiliationフィルタによるデータベース再構築に至った。(5)</w:t>
      </w:r>
      <w:r>
        <w:t xml:space="preserve"> </w:t>
      </w:r>
      <w:r>
        <w:rPr>
          <w:rFonts w:hint="eastAsia"/>
        </w:rPr>
        <w:t xml:space="preserve">ハイフン変形（全角・半角・enダッシュ）の検出漏れを正規化で対処した。これらの修正をすべて反映した上で辞書とデータベースを最終版とし、以降の分析に使用した。</w:t>
      </w:r>
    </w:p>
    <w:bookmarkEnd w:id="14"/>
    <w:bookmarkEnd w:id="15"/>
    <w:bookmarkStart w:id="16" w:name="象限分類"/>
    <w:p>
      <w:pPr>
        <w:pStyle w:val="Heading3"/>
      </w:pPr>
      <w:r>
        <w:t xml:space="preserve">4. </w:t>
      </w:r>
      <w:r>
        <w:rPr>
          <w:rFonts w:hint="eastAsia"/>
        </w:rPr>
        <w:t xml:space="preserve">4象限分類</w:t>
      </w:r>
    </w:p>
    <w:p>
      <w:pPr>
        <w:pStyle w:val="FirstParagraph"/>
      </w:pPr>
      <w:r>
        <w:rPr>
          <w:rFonts w:hint="eastAsia"/>
        </w:rPr>
        <w:t xml:space="preserve">各論文を、辞書Aのマッチ（処方名言及あり／なし）と辞書Bのマッチ（漢方思考概念言及あり／なし）の組み合わせにより、Q1（処方＋思考＋）、Q2（処方−思考＋）、Q3（処方＋思考−）、Q4（処方−思考−）の4象限に分類した。本研究が定量化する「認知ギャップ」は、処方名に言及している論文のうち漢方思考概念に言及していない論文の割合、すなわちQ3/(Q1+Q3)として算出した。なお、Q1は漢方の認知がテキスト上に存在する論文の上限推定値である。腹診所見など診察所見を記述していても、そこから処方選択への推論過程を明示していない論文もQ1に含まれるためである。</w:t>
      </w:r>
    </w:p>
    <w:bookmarkEnd w:id="16"/>
    <w:bookmarkStart w:id="17" w:name="テキストマイニング手法の選択根拠"/>
    <w:p>
      <w:pPr>
        <w:pStyle w:val="Heading3"/>
      </w:pPr>
      <w:r>
        <w:t xml:space="preserve">5. </w:t>
      </w:r>
      <w:r>
        <w:rPr>
          <w:rFonts w:hint="eastAsia"/>
        </w:rPr>
        <w:t xml:space="preserve">テキストマイニング手法の選択根拠</w:t>
      </w:r>
    </w:p>
    <w:p>
      <w:pPr>
        <w:pStyle w:val="FirstParagraph"/>
      </w:pPr>
      <w:r>
        <w:rPr>
          <w:rFonts w:hint="eastAsia"/>
        </w:rPr>
        <w:t xml:space="preserve">本研究は辞書ベースの文字列マッチングを採用した。第一に、研究課題が「特定の概念群がテキスト上に出現するか否か」を問うものであり、潜在的なトピック構造の推定（トピックモデリング）や意味空間上の近接性の評価（word</w:t>
      </w:r>
      <w:r>
        <w:t xml:space="preserve"> </w:t>
      </w:r>
      <w:r>
        <w:rPr>
          <w:rFonts w:hint="eastAsia"/>
        </w:rPr>
        <w:t xml:space="preserve">embedding）を必要としない。第二に、辞書の全語リストを公開すること（附表1）で分類の根拠が完全に透明になる。第三に、辞書の境界設定に伴う恣意性に対しては、3段階の感度分析と40件のサンプリング検証で対処した。</w:t>
      </w:r>
    </w:p>
    <w:bookmarkEnd w:id="17"/>
    <w:bookmarkStart w:id="18" w:name="論文タイプ別層別分析"/>
    <w:p>
      <w:pPr>
        <w:pStyle w:val="Heading3"/>
      </w:pPr>
      <w:r>
        <w:t xml:space="preserve">6. </w:t>
      </w:r>
      <w:r>
        <w:rPr>
          <w:rFonts w:hint="eastAsia"/>
        </w:rPr>
        <w:t xml:space="preserve">論文タイプ別層別分析</w:t>
      </w:r>
    </w:p>
    <w:p>
      <w:pPr>
        <w:pStyle w:val="FirstParagraph"/>
      </w:pPr>
      <w:r>
        <w:rPr>
          <w:rFonts w:hint="eastAsia"/>
        </w:rPr>
        <w:t xml:space="preserve">kampo群については、タイトルに「症例」「一例」「一症例」等を含む論文を症例報告として分類した。pubmed_kampo群については、PubMedのPublicationTypeフィールドに</w:t>
      </w:r>
      <w:r>
        <w:t xml:space="preserve"> </w:t>
      </w:r>
      <w:r>
        <w:t xml:space="preserve">“Case Reports”</w:t>
      </w:r>
      <w:r>
        <w:t xml:space="preserve"> </w:t>
      </w:r>
      <w:r>
        <w:rPr>
          <w:rFonts w:hint="eastAsia"/>
        </w:rPr>
        <w:t xml:space="preserve">を含む論文を症例報告とした。同フィールドに</w:t>
      </w:r>
      <w:r>
        <w:t xml:space="preserve"> </w:t>
      </w:r>
      <w:r>
        <w:t xml:space="preserve">“Randomized Controlled Trial”</w:t>
      </w:r>
      <w:r>
        <w:t xml:space="preserve"> </w:t>
      </w:r>
      <w:r>
        <w:rPr>
          <w:rFonts w:hint="eastAsia"/>
        </w:rPr>
        <w:t xml:space="preserve">を含む論文も別途集計した。</w:t>
      </w:r>
    </w:p>
    <w:bookmarkEnd w:id="18"/>
    <w:bookmarkStart w:id="19" w:name="統計解析"/>
    <w:p>
      <w:pPr>
        <w:pStyle w:val="Heading3"/>
      </w:pPr>
      <w:r>
        <w:t xml:space="preserve">7. </w:t>
      </w:r>
      <w:r>
        <w:rPr>
          <w:rFonts w:hint="eastAsia"/>
        </w:rPr>
        <w:t xml:space="preserve">統計解析</w:t>
      </w:r>
    </w:p>
    <w:p>
      <w:pPr>
        <w:pStyle w:val="FirstParagraph"/>
      </w:pPr>
      <w:r>
        <w:rPr>
          <w:rFonts w:hint="eastAsia"/>
        </w:rPr>
        <w:t xml:space="preserve">kampo群とpubmed_kampo群の認知ギャップ比率の差をオッズ比（OR）と95%信頼区間で評価した。kampo群内の症例報告と非症例報告の差も同様にオッズ比で評価した。p値はFisherの正確確率検定により算出した。処方別の認知ギャップ（言語間認知格差）は、各処方名を含む論文における認知ギャップ比率を両群で算出し、差（percentage</w:t>
      </w:r>
      <w:r>
        <w:t xml:space="preserve"> </w:t>
      </w:r>
      <w:r>
        <w:rPr>
          <w:rFonts w:hint="eastAsia"/>
        </w:rPr>
        <w:t xml:space="preserve">point差）を報告した。対象はいずれの群でも10件以上の論文が存在する処方とした。すべての解析はPython</w:t>
      </w:r>
      <w:r>
        <w:t xml:space="preserve"> </w:t>
      </w:r>
      <w:r>
        <w:rPr>
          <w:rFonts w:hint="eastAsia"/>
        </w:rPr>
        <w:t xml:space="preserve">3.x（SciPy,</w:t>
      </w:r>
      <w:r>
        <w:t xml:space="preserve"> </w:t>
      </w:r>
      <w:r>
        <w:rPr>
          <w:rFonts w:hint="eastAsia"/>
        </w:rPr>
        <w:t xml:space="preserve">pandas）で実施し、スクリプトはリポジトリで公開した。</w:t>
      </w:r>
    </w:p>
    <w:bookmarkEnd w:id="19"/>
    <w:bookmarkStart w:id="20" w:name="倫理的配慮"/>
    <w:p>
      <w:pPr>
        <w:pStyle w:val="Heading3"/>
      </w:pPr>
      <w:r>
        <w:t xml:space="preserve">8. </w:t>
      </w:r>
      <w:r>
        <w:rPr>
          <w:rFonts w:hint="eastAsia"/>
        </w:rPr>
        <w:t xml:space="preserve">倫理的配慮</w:t>
      </w:r>
    </w:p>
    <w:p>
      <w:pPr>
        <w:pStyle w:val="FirstParagraph"/>
      </w:pPr>
      <w:r>
        <w:rPr>
          <w:rFonts w:hint="eastAsia"/>
        </w:rPr>
        <w:t xml:space="preserve">本研究は既に公開されている学術文献のメタデータ（タイトルおよび抄録）の二次分析であり、個人情報を扱わない。★倫理審査の要否について記載予定。</w:t>
      </w:r>
    </w:p>
    <w:p>
      <w:r>
        <w:pict>
          <v:rect style="width:0;height:1.5pt" o:hralign="center" o:hrstd="t" o:hr="t"/>
        </w:pict>
      </w:r>
    </w:p>
    <w:bookmarkEnd w:id="20"/>
    <w:bookmarkEnd w:id="21"/>
    <w:bookmarkStart w:id="30" w:name="結果"/>
    <w:p>
      <w:pPr>
        <w:pStyle w:val="Heading2"/>
      </w:pPr>
      <w:r>
        <w:rPr>
          <w:rFonts w:hint="eastAsia"/>
        </w:rPr>
        <w:t xml:space="preserve">結果</w:t>
      </w:r>
    </w:p>
    <w:bookmarkStart w:id="22" w:name="データベースの全体像"/>
    <w:p>
      <w:pPr>
        <w:pStyle w:val="Heading3"/>
      </w:pPr>
      <w:r>
        <w:t xml:space="preserve">1. </w:t>
      </w:r>
      <w:r>
        <w:rPr>
          <w:rFonts w:hint="eastAsia"/>
        </w:rPr>
        <w:t xml:space="preserve">データベースの全体像</w:t>
      </w:r>
    </w:p>
    <w:p>
      <w:pPr>
        <w:pStyle w:val="FirstParagraph"/>
      </w:pPr>
      <w:r>
        <w:rPr>
          <w:rFonts w:hint="eastAsia"/>
        </w:rPr>
        <w:t xml:space="preserve">非日本研究1,311件を除外した最終データベースは10,535件で構成された。kampo群は2,003件、pubmed_kampo群は4,836件であった。kampo群の抄録保有率は83.2%（1,666/2,003件）、pubmed_kampo群は91.9%（4,446/4,836件）であった。kampo群で抄録を欠く337件は主に1980年代の論文である。以下の主解析は抄録を保有する論文のみを対象とした。kampo群の年代範囲は1982〜2025年、pubmed_kampo群は1963〜2026年であった。</w:t>
      </w:r>
    </w:p>
    <w:bookmarkEnd w:id="22"/>
    <w:bookmarkStart w:id="23" w:name="認知ギャップの定量化"/>
    <w:p>
      <w:pPr>
        <w:pStyle w:val="Heading3"/>
      </w:pPr>
      <w:r>
        <w:t xml:space="preserve">2. </w:t>
      </w:r>
      <w:r>
        <w:rPr>
          <w:rFonts w:hint="eastAsia"/>
        </w:rPr>
        <w:t xml:space="preserve">認知ギャップの定量化</w:t>
      </w:r>
    </w:p>
    <w:p>
      <w:pPr>
        <w:pStyle w:val="FirstParagraph"/>
      </w:pPr>
      <w:r>
        <w:rPr>
          <w:rFonts w:hint="eastAsia"/>
        </w:rPr>
        <w:t xml:space="preserve">kampo群（抄録保有、n=1,666）では、Q1（処方＋思考＋）518件（31.1%）、Q2（処方−思考＋）159件（9.5%）、Q3（処方＋思考−）587件（35.2%）、Q4（処方−思考−）402件（24.1%）であった。処方名に言及する論文（Q1+Q3）は1,105件（66.3%）であった。pubmed_kampo群（抄録保有、n=4,446）では、Q1は34件（0.8%）、Q2は328件（7.4%）、Q3は1,341件（30.2%）、Q4は2,743件（61.7%）であった。処方名に言及する論文（Q1+Q3）は1,375件（30.9%）であった。</w:t>
      </w:r>
    </w:p>
    <w:p>
      <w:pPr>
        <w:pStyle w:val="BodyText"/>
      </w:pPr>
      <w:r>
        <w:rPr>
          <w:rFonts w:hint="eastAsia"/>
        </w:rPr>
        <w:t xml:space="preserve">認知ギャップ比率Q3/(Q1+Q3)は、kampo群で53.1%（587/1,105）、pubmed_kampo群で97.5%（1,341/1,375）であった（Table</w:t>
      </w:r>
      <w:r>
        <w:t xml:space="preserve"> </w:t>
      </w:r>
      <w:r>
        <w:rPr>
          <w:rFonts w:hint="eastAsia"/>
        </w:rPr>
        <w:t xml:space="preserve">1）。日本東洋医学雑誌の漢方処方に言及する論文の過半数が漢方思考概念をテキスト上に記述しておらず、英語文献ではこの欠落がほぼ全域に及んでいた。両群の差のオッズ比は34.80（95%</w:t>
      </w:r>
      <w:r>
        <w:t xml:space="preserve"> CI: 24.18〜51.42、p = </w:t>
      </w:r>
      <w:r>
        <w:rPr>
          <w:rFonts w:hint="eastAsia"/>
        </w:rPr>
        <w:t xml:space="preserve">7.26×10⁻¹⁷²）であった。</w:t>
      </w:r>
    </w:p>
    <w:p>
      <w:pPr>
        <w:pStyle w:val="BodyText"/>
      </w:pPr>
      <w:r>
        <w:rPr>
          <w:rFonts w:hint="eastAsia"/>
        </w:rPr>
        <w:t xml:space="preserve">kampo群の53.1%は、Unedaらの質問紙調査[2]における「処方医の48.3%が証を使用していない」という知見と、方法論的に独立しているにもかかわらず近似した値を示した。この収束については考察で論じる。</w:t>
      </w:r>
    </w:p>
    <w:bookmarkEnd w:id="23"/>
    <w:bookmarkStart w:id="24" w:name="感度分析"/>
    <w:p>
      <w:pPr>
        <w:pStyle w:val="Heading3"/>
      </w:pPr>
      <w:r>
        <w:t xml:space="preserve">3. </w:t>
      </w:r>
      <w:r>
        <w:rPr>
          <w:rFonts w:hint="eastAsia"/>
        </w:rPr>
        <w:t xml:space="preserve">感度分析</w:t>
      </w:r>
    </w:p>
    <w:p>
      <w:pPr>
        <w:pStyle w:val="FirstParagraph"/>
      </w:pPr>
      <w:r>
        <w:rPr>
          <w:rFonts w:hint="eastAsia"/>
        </w:rPr>
        <w:t xml:space="preserve">kampo群の認知ギャップ比率はLiberal版43.7%、Conservative版53.1%、Strict版53.3%であった。pubmed_kampo群ではLiberal版97.1%、Conservative版・Strict版ともに97.5%であった（Table</w:t>
      </w:r>
      <w:r>
        <w:t xml:space="preserve"> </w:t>
      </w:r>
      <w:r>
        <w:rPr>
          <w:rFonts w:hint="eastAsia"/>
        </w:rPr>
        <w:t xml:space="preserve">2）。kampo群ではLiberal版とConservative版の間に9.4</w:t>
      </w:r>
      <w:r>
        <w:t xml:space="preserve"> percentage </w:t>
      </w:r>
      <w:r>
        <w:rPr>
          <w:rFonts w:hint="eastAsia"/>
        </w:rPr>
        <w:t xml:space="preserve">pointの差が認められた。これは一般症候語を漢方思考概念として計上するとQ1に分類される論文が増加するためである。一方、Conservative版とStrict版の差はわずか0.2</w:t>
      </w:r>
      <w:r>
        <w:t xml:space="preserve"> percentage </w:t>
      </w:r>
      <w:r>
        <w:rPr>
          <w:rFonts w:hint="eastAsia"/>
        </w:rPr>
        <w:t xml:space="preserve">pointであり、Conservative版の時点で辞書が漢方固有の概念語をほぼ飽和的に捕捉していることを示す。主解析にConservative版を採用したことの妥当性を支持する結果といえる。pubmed_kampo群では変動幅が0.4</w:t>
      </w:r>
      <w:r>
        <w:t xml:space="preserve"> percentage </w:t>
      </w:r>
      <w:r>
        <w:rPr>
          <w:rFonts w:hint="eastAsia"/>
        </w:rPr>
        <w:t xml:space="preserve">pointにとどまり、英語文献における漢方思考概念の不在は辞書の設定にほとんど依存しない頑健な所見であった。</w:t>
      </w:r>
    </w:p>
    <w:bookmarkEnd w:id="24"/>
    <w:bookmarkStart w:id="25" w:name="時系列トレンド"/>
    <w:p>
      <w:pPr>
        <w:pStyle w:val="Heading3"/>
      </w:pPr>
      <w:r>
        <w:t xml:space="preserve">4. </w:t>
      </w:r>
      <w:r>
        <w:rPr>
          <w:rFonts w:hint="eastAsia"/>
        </w:rPr>
        <w:t xml:space="preserve">時系列トレンド</w:t>
      </w:r>
    </w:p>
    <w:p>
      <w:pPr>
        <w:pStyle w:val="FirstParagraph"/>
      </w:pPr>
      <w:r>
        <w:rPr>
          <w:rFonts w:hint="eastAsia"/>
        </w:rPr>
        <w:t xml:space="preserve">認知ギャップ比率の経年推移を5年単位で集計した（Figure</w:t>
      </w:r>
      <w:r>
        <w:t xml:space="preserve"> </w:t>
      </w:r>
      <w:r>
        <w:rPr>
          <w:rFonts w:hint="eastAsia"/>
        </w:rPr>
        <w:t xml:space="preserve">1）。kampo群では、1980年代から2000年代前半にかけて61〜66%の水準で推移していた（1996〜2000年に最大の65.7%）。2006〜2010年に43.0%へ急落し、その後は42〜53%の範囲で推移した。直近の2021〜2026年には42.1%（Q1=92件、Q3=67件）で全期間の最低値を記録した。2006年前後の変化点は、2001年のモデル・コア・カリキュラム改訂を受けた世代が臨床・研究に進出し始める時期と重なるが、本研究のデザインではこの関連を因果的に検証できない。pubmed_kampo群では、2005年以前はQ1が0件（認知ギャップ100%）であった。2006年以降にQ1が散見されるようになったが、直近の2021〜2026年でもQ1=10件、Q3=393件（97.5%）であり、改善傾向は認められなかった。</w:t>
      </w:r>
    </w:p>
    <w:bookmarkEnd w:id="25"/>
    <w:bookmarkStart w:id="26" w:name="言語間認知格差"/>
    <w:p>
      <w:pPr>
        <w:pStyle w:val="Heading3"/>
      </w:pPr>
      <w:r>
        <w:t xml:space="preserve">5. </w:t>
      </w:r>
      <w:r>
        <w:rPr>
          <w:rFonts w:hint="eastAsia"/>
        </w:rPr>
        <w:t xml:space="preserve">言語間認知格差</w:t>
      </w:r>
    </w:p>
    <w:p>
      <w:pPr>
        <w:pStyle w:val="FirstParagraph"/>
      </w:pPr>
      <w:r>
        <w:rPr>
          <w:rFonts w:hint="eastAsia"/>
        </w:rPr>
        <w:t xml:space="preserve">処方別の認知ギャップ比率を両群で比較した（Figure</w:t>
      </w:r>
      <w:r>
        <w:t xml:space="preserve"> </w:t>
      </w:r>
      <w:r>
        <w:rPr>
          <w:rFonts w:hint="eastAsia"/>
        </w:rPr>
        <w:t xml:space="preserve">2）。日本語文献から英語文献への移行に伴い、漢方思考概念の記述が処方を問わず急落する現象が認められた。本研究ではこの現象を「言語間認知格差」と呼ぶ。これは同一論文の言語変換を指すのではなく、ある処方をめぐる学術的言説が日本語圏から英語圏に越境する際に漢方思考概念の記述が構造的に失われる現象を指す。この格差の背景にある認識論的要因は考察で論じる。</w:t>
      </w:r>
    </w:p>
    <w:p>
      <w:pPr>
        <w:pStyle w:val="BodyText"/>
      </w:pPr>
      <w:r>
        <w:rPr>
          <w:rFonts w:hint="eastAsia"/>
        </w:rPr>
        <w:t xml:space="preserve">差が最大であったのは五苓散（kampo群60.3%→pubmed_kampo群4.1%、Δ=56.2</w:t>
      </w:r>
      <w:r>
        <w:t xml:space="preserve"> </w:t>
      </w:r>
      <w:r>
        <w:rPr>
          <w:rFonts w:hint="eastAsia"/>
        </w:rPr>
        <w:t xml:space="preserve">pp）で、以下、十全大補湯（59.4%→6.5%、Δ=52.9</w:t>
      </w:r>
      <w:r>
        <w:t xml:space="preserve"> </w:t>
      </w:r>
      <w:r>
        <w:rPr>
          <w:rFonts w:hint="eastAsia"/>
        </w:rPr>
        <w:t xml:space="preserve">pp）、大柴胡湯（57.9%→5.0%、Δ=52.9</w:t>
      </w:r>
      <w:r>
        <w:t xml:space="preserve"> </w:t>
      </w:r>
      <w:r>
        <w:rPr>
          <w:rFonts w:hint="eastAsia"/>
        </w:rPr>
        <w:t xml:space="preserve">pp）、大建中湯（50.0%→0.0%、Δ=50.0</w:t>
      </w:r>
      <w:r>
        <w:t xml:space="preserve"> </w:t>
      </w:r>
      <w:r>
        <w:rPr>
          <w:rFonts w:hint="eastAsia"/>
        </w:rPr>
        <w:t xml:space="preserve">pp）と続いた。大建中湯と抑肝散ではpubmed_kampo群のQ1が0件であり、思考概念への言及が完全に消失していた。kampo群で認知ギャップが相対的に低い桂枝茯苓丸（kampo群38.0%）でもpubmed_kampo群では80.0%に上昇した。言語間認知格差は処方の種類を問わず生じており、kampo群における認知の蓄積が英語文献に継承されていないことを示す。</w:t>
      </w:r>
    </w:p>
    <w:bookmarkEnd w:id="26"/>
    <w:bookmarkStart w:id="27" w:name="思考概念カテゴリの比較"/>
    <w:p>
      <w:pPr>
        <w:pStyle w:val="Heading3"/>
      </w:pPr>
      <w:r>
        <w:t xml:space="preserve">6. </w:t>
      </w:r>
      <w:r>
        <w:rPr>
          <w:rFonts w:hint="eastAsia"/>
        </w:rPr>
        <w:t xml:space="preserve">思考概念カテゴリの比較</w:t>
      </w:r>
    </w:p>
    <w:p>
      <w:pPr>
        <w:pStyle w:val="FirstParagraph"/>
      </w:pPr>
      <w:r>
        <w:rPr>
          <w:rFonts w:hint="eastAsia"/>
        </w:rPr>
        <w:t xml:space="preserve">処方名に言及する論文（Q1+Q3）に占める各カテゴリの出現率を比較した（Figure</w:t>
      </w:r>
      <w:r>
        <w:t xml:space="preserve"> </w:t>
      </w:r>
      <w:r>
        <w:rPr>
          <w:rFonts w:hint="eastAsia"/>
        </w:rPr>
        <w:t xml:space="preserve">3）。kampo群（Q1+Q3=1,108件）ではpathology（気血水の病態論）が11.3%（125件）で最も高く、examination（漢方診察法）3.2%（35件）、sho_core（証の枠組み）2.6%（29件）、classical（古典的病態概念）2.0%（22件）、epistemological（認識論的概念）0.4%（4件）の順であった。「気虚」「瘀血」等の病態記述語が最も高頻度であり、「弁証」「方証相対」等の証の枠組みそのものへの言及はそれより低かった。</w:t>
      </w:r>
    </w:p>
    <w:p>
      <w:pPr>
        <w:pStyle w:val="BodyText"/>
      </w:pPr>
      <w:r>
        <w:rPr>
          <w:rFonts w:hint="eastAsia"/>
        </w:rPr>
        <w:t xml:space="preserve">pubmed_kampo群（Q1+Q3=1,378件）ではすべてのカテゴリで出現率がほぼ零に近かった。最も高いpathologyでも0.9%（13件）にとどまり、sho_core（0件）、examination（0件）、epistemological（0件）は皆無であった。kampo群からの減少率はsho_core、examination、epistemologicalで100%（完全消失）、classicalで96.3%、pathologyで91.6%であった。英語文献では気血水の病態記述がわずかに残存するのみで、証の枠組みと漢方診察法は翻訳の過程で完全に失われていた。</w:t>
      </w:r>
    </w:p>
    <w:bookmarkEnd w:id="27"/>
    <w:bookmarkStart w:id="28" w:name="論文タイプ別層別分析-1"/>
    <w:p>
      <w:pPr>
        <w:pStyle w:val="Heading3"/>
      </w:pPr>
      <w:r>
        <w:t xml:space="preserve">7. </w:t>
      </w:r>
      <w:r>
        <w:rPr>
          <w:rFonts w:hint="eastAsia"/>
        </w:rPr>
        <w:t xml:space="preserve">論文タイプ別層別分析</w:t>
      </w:r>
    </w:p>
    <w:p>
      <w:pPr>
        <w:pStyle w:val="FirstParagraph"/>
      </w:pPr>
      <w:r>
        <w:rPr>
          <w:rFonts w:hint="eastAsia"/>
        </w:rPr>
        <w:t xml:space="preserve">kampo群では、症例報告の認知ギャップ比率が46.6%（Q1=344件、Q3=300件）、非症例報告では62.1%（Q1=176件、Q3=288件）であった（OR</w:t>
      </w:r>
      <w:r>
        <w:t xml:space="preserve"> = 1.88、95% CI: 1.47〜2.39、p = </w:t>
      </w:r>
      <w:r>
        <w:rPr>
          <w:rFonts w:hint="eastAsia"/>
        </w:rPr>
        <w:t xml:space="preserve">3.92×10⁻⁷）。症例報告は漢方思考概念の記述率が相対的に高いが、それでも約半数が漢方思考概念を欠いていた。</w:t>
      </w:r>
    </w:p>
    <w:p>
      <w:pPr>
        <w:pStyle w:val="BodyText"/>
      </w:pPr>
      <w:r>
        <w:rPr>
          <w:rFonts w:hint="eastAsia"/>
        </w:rPr>
        <w:t xml:space="preserve">pubmed_kampo群の症例報告は96.3%（Q1=4件、Q3=104件）であり、kampo群との差は顕著であった（OR</w:t>
      </w:r>
      <w:r>
        <w:t xml:space="preserve"> = 29.81、95% CI: 10.85〜81.90、p = </w:t>
      </w:r>
      <w:r>
        <w:rPr>
          <w:rFonts w:hint="eastAsia"/>
        </w:rPr>
        <w:t xml:space="preserve">3.94×10⁻²⁶）。pubmed_kampo群のRCTでは認知ギャップ比率が100%であり、すべてのRCTで漢方思考概念への言及が欠如していた。</w:t>
      </w:r>
    </w:p>
    <w:bookmarkEnd w:id="28"/>
    <w:bookmarkStart w:id="29" w:name="サンプリング検証の結果"/>
    <w:p>
      <w:pPr>
        <w:pStyle w:val="Heading3"/>
      </w:pPr>
      <w:r>
        <w:t xml:space="preserve">8. </w:t>
      </w:r>
      <w:r>
        <w:rPr>
          <w:rFonts w:hint="eastAsia"/>
        </w:rPr>
        <w:t xml:space="preserve">サンプリング検証の結果</w:t>
      </w:r>
    </w:p>
    <w:p>
      <w:pPr>
        <w:pStyle w:val="FirstParagraph"/>
      </w:pPr>
      <w:r>
        <w:rPr>
          <w:rFonts w:hint="eastAsia"/>
        </w:rPr>
        <w:t xml:space="preserve">4象限から各10件、計40件の検証結果をTable</w:t>
      </w:r>
      <w:r>
        <w:t xml:space="preserve"> </w:t>
      </w:r>
      <w:r>
        <w:rPr>
          <w:rFonts w:hint="eastAsia"/>
        </w:rPr>
        <w:t xml:space="preserve">3に示す。A群（kampo</w:t>
      </w:r>
      <w:r>
        <w:t xml:space="preserve"> </w:t>
      </w:r>
      <w:r>
        <w:rPr>
          <w:rFonts w:hint="eastAsia"/>
        </w:rPr>
        <w:t xml:space="preserve">Q1）は10件中7件が正しくQ1と判定された。偽陽性2件は「随証治療」のスローガン的使用であり、共起ルール導入で修正した。B群（kampo</w:t>
      </w:r>
      <w:r>
        <w:t xml:space="preserve"> </w:t>
      </w:r>
      <w:r>
        <w:rPr>
          <w:rFonts w:hint="eastAsia"/>
        </w:rPr>
        <w:t xml:space="preserve">Q3）は10件中4件が正しく判定され、偽陰性3件は辞書B未収録の概念語を含む論文であった。C群（pubmed</w:t>
      </w:r>
      <w:r>
        <w:t xml:space="preserve"> </w:t>
      </w:r>
      <w:r>
        <w:rPr>
          <w:rFonts w:hint="eastAsia"/>
        </w:rPr>
        <w:t xml:space="preserve">Q1）は10件中4件が中国TCM研究であり、affiliationフィルタで除外済みである。D群（pubmed</w:t>
      </w:r>
      <w:r>
        <w:t xml:space="preserve"> </w:t>
      </w:r>
      <w:r>
        <w:rPr>
          <w:rFonts w:hint="eastAsia"/>
        </w:rPr>
        <w:t xml:space="preserve">Q3）は10件中8件が正しく判定され、偽陰性1件はハイフン変形による検出漏れであった。これらの修正は最終版辞書・データベースに反映済みである。</w:t>
      </w:r>
    </w:p>
    <w:p>
      <w:r>
        <w:pict>
          <v:rect style="width:0;height:1.5pt" o:hralign="center" o:hrstd="t" o:hr="t"/>
        </w:pict>
      </w:r>
    </w:p>
    <w:bookmarkEnd w:id="29"/>
    <w:bookmarkEnd w:id="30"/>
    <w:bookmarkStart w:id="31" w:name="考察"/>
    <w:p>
      <w:pPr>
        <w:pStyle w:val="Heading2"/>
      </w:pPr>
      <w:r>
        <w:rPr>
          <w:rFonts w:hint="eastAsia"/>
        </w:rPr>
        <w:t xml:space="preserve">考察</w:t>
      </w:r>
    </w:p>
    <w:p>
      <w:pPr>
        <w:pStyle w:val="FirstParagraph"/>
      </w:pPr>
      <w:r>
        <w:rPr>
          <w:rFonts w:hint="eastAsia"/>
        </w:rPr>
        <w:t xml:space="preserve">本研究は、漢方医学関連の学術文献10,535件のテキストマイニングにより、処方名への言及と漢方思考概念への言及の乖離（認知ギャップ）を定量化した。kampo群では処方に言及する論文の53.1%が漢方思考概念を記述しておらず、pubmed_kampo群ではこの割合が97.5%に達した（OR=34.80）。感度分析ではConservative版とStrict版の差がわずか0.2</w:t>
      </w:r>
      <w:r>
        <w:t xml:space="preserve"> percentage </w:t>
      </w:r>
      <w:r>
        <w:rPr>
          <w:rFonts w:hint="eastAsia"/>
        </w:rPr>
        <w:t xml:space="preserve">pointにとどまり、推定値の頑健性が確認された。「言語間認知格差」は処方を問わず認められ、症例報告は非症例報告より低い認知ギャップを示したが（46.6%</w:t>
      </w:r>
      <w:r>
        <w:t xml:space="preserve"> vs </w:t>
      </w:r>
      <w:r>
        <w:rPr>
          <w:rFonts w:hint="eastAsia"/>
        </w:rPr>
        <w:t xml:space="preserve">62.1%）、約半数が漢方思考概念を欠いていた。</w:t>
      </w:r>
    </w:p>
    <w:p>
      <w:pPr>
        <w:pStyle w:val="BodyText"/>
      </w:pPr>
      <w:r>
        <w:rPr>
          <w:rFonts w:hint="eastAsia"/>
        </w:rPr>
        <w:t xml:space="preserve">kampo群の53.1%は、Unedaらの質問紙調査[2]における「処方医の48.3%が証を使用していない」という報告と注目すべき収束を示す。Unedaらは医師652名を対象としたオンライン調査でこの知見を得ており、本研究はそれとは独立したデータと方法で近似した推定値に到達した。両者の測定対象は異なる——Unedaらが測定したのは臨床行動の自己報告であり、本研究が測定したのはテキスト上の表出である。にもかかわらず近似した値を示したことは、認知ギャップが特定の測定法に依存するアーティファクトではなく、漢方医学の実践と記述の双方に通底する構造的な現象であることを支持する。48.3%と53.1%の差については、質問紙の社会的望ましさバイアス（過大評価方向）とテキスト分析の偽陰性（過小評価方向）というバイアスの方向が逆であることから、真の値はこの範囲内にあると推定するのが妥当である。</w:t>
      </w:r>
    </w:p>
    <w:p>
      <w:pPr>
        <w:pStyle w:val="BodyText"/>
      </w:pPr>
      <w:r>
        <w:rPr>
          <w:rFonts w:hint="eastAsia"/>
        </w:rPr>
        <w:t xml:space="preserve">kampo群とpubmed_kampo群の認知ギャップの差（53.1%</w:t>
      </w:r>
      <w:r>
        <w:t xml:space="preserve"> vs </w:t>
      </w:r>
      <w:r>
        <w:rPr>
          <w:rFonts w:hint="eastAsia"/>
        </w:rPr>
        <w:t xml:space="preserve">97.5%）は、日本語の漢方文献に一定程度存在する思考概念の記述が、英語文献ではほぼ完全に失われていることを示す。</w:t>
      </w:r>
    </w:p>
    <w:p>
      <w:pPr>
        <w:pStyle w:val="BodyText"/>
      </w:pPr>
      <w:r>
        <w:rPr>
          <w:rFonts w:hint="eastAsia"/>
        </w:rPr>
        <w:t xml:space="preserve">この現象の根本にあるのは、英語で発信される学術文献の場が西洋医学の認識論的枠組みを前提としていることである。英語ジャーナルの査読者と読者は、疾患名・検査値・統計的有意差という座標で論文を評価する。その場に「弁証」「方証相対」「腹証」を持ち込んでも、共有される認識枠組みの中に位置づける場所がない。著者は投稿先の認識論に適応せざるをえず、漢方の思考を省略して西洋医学的な言語のみで論文を構成する。本研究でpubmed_kampo群のRCTにおける認知ギャップが100%であった所見は、この適応圧力の帰結を端的に示す。Motooらが報告した「漢方RCTの7.1%しか証を組み込んでいない」[5]という知見も、同じ構造の反映である。</w:t>
      </w:r>
    </w:p>
    <w:p>
      <w:pPr>
        <w:pStyle w:val="BodyText"/>
      </w:pPr>
      <w:r>
        <w:rPr>
          <w:rFonts w:hint="eastAsia"/>
        </w:rPr>
        <w:t xml:space="preserve">カテゴリ分析はこの構造をさらに明瞭にする。証の枠組み（sho_core）と漢方診察法（examination）はpubmed_kampo群で完全に消失した一方、気血水の病態論（pathology）は0.9%とわずかに残存した。「qi</w:t>
      </w:r>
      <w:r>
        <w:t xml:space="preserve"> deficiency」「blood </w:t>
      </w:r>
      <w:r>
        <w:rPr>
          <w:rFonts w:hint="eastAsia"/>
        </w:rPr>
        <w:t xml:space="preserve">stasis」は西洋医学の病態生理学にも対応しうる概念であるため英訳が成り立つが、「弁証」「腹証」には翻訳先の認識枠組みに受け皿がない。失われているのは語彙ではなく、語彙を意味づける認識の枠組みそのものである。</w:t>
      </w:r>
    </w:p>
    <w:p>
      <w:pPr>
        <w:pStyle w:val="BodyText"/>
      </w:pPr>
      <w:r>
        <w:rPr>
          <w:rFonts w:hint="eastAsia"/>
        </w:rPr>
        <w:t xml:space="preserve">この認識論的な非対称性は、二つの医学体系の思考を同時に起動させる臨床認知の必要性を示唆する。本研究が定量化した認知ギャップは、その前提条件である漢方の思考体系の学術的共有が文献レベルで実現していないことを実証的に示す。漢方の思考が英語文献から消えるのは、翻訳の技術的困難ではなく、認識の枠組みの非対称性がもたらす構造的帰結である。</w:t>
      </w:r>
    </w:p>
    <w:p>
      <w:pPr>
        <w:pStyle w:val="BodyText"/>
      </w:pPr>
      <w:r>
        <w:rPr>
          <w:rFonts w:hint="eastAsia"/>
        </w:rPr>
        <w:t xml:space="preserve">症例報告が非症例報告より有意に低い認知ギャップを示したこと（46.6%</w:t>
      </w:r>
      <w:r>
        <w:t xml:space="preserve"> vs </w:t>
      </w:r>
      <w:r>
        <w:rPr>
          <w:rFonts w:hint="eastAsia"/>
        </w:rPr>
        <w:t xml:space="preserve">62.1%）は、症例報告が漢方の臨床推論を記録・伝達する媒体として相対的に機能していることを意味する。しかし、症例報告においても46.6%が漢方思考概念を欠いていたことのほうが、漢方医学の学術コミュニティにとってはより重要なメッセージである。漢方処方を含む症例報告の約半数が、処方がなぜ選択されたのかを漢方の論理で記述していない。こうした症例報告は「使用事例」としての情報は提供するが、「思考の記録」としては機能しない。</w:t>
      </w:r>
    </w:p>
    <w:p>
      <w:pPr>
        <w:pStyle w:val="BodyText"/>
      </w:pPr>
      <w:r>
        <w:rPr>
          <w:rFonts w:hint="eastAsia"/>
        </w:rPr>
        <w:t xml:space="preserve">Unedaらの2025年の追跡調査では、学部で漢方教育を受けた医師群は未受講群と比較して証に基づく処方の頻度が有意に高かった[11]。本研究で2006年以降に認知ギャップが改善した時系列パターンは、2001年のモデル・コア・カリキュラム改訂[12]を受けた漢方教育世代の臨床進出と時期的に整合する。教育が認知ギャップ縮小に寄与する可能性を示唆する所見であり、今後の縦断的な検証を要する。</w:t>
      </w:r>
    </w:p>
    <w:p>
      <w:pPr>
        <w:pStyle w:val="BodyText"/>
      </w:pPr>
      <w:r>
        <w:rPr>
          <w:rFonts w:hint="eastAsia"/>
        </w:rPr>
        <w:t xml:space="preserve">生成AIの臨床応用が進展する現在、この問題は新たな意味を帯びる。大規模言語モデルは学術文献のテキストから学習するが、文献中に漢方の臨床推論が記述されていなければ、AIはその推論を学ぶことができない。漢方の思考をテキスト上に記録することは、人間の次世代への教育のみならず、AIによる漢方の適切な理解にとっても前提となりうる。ただし、この論点は本研究で実証したものではなく、今後の検証を要する示唆にとどめる。</w:t>
      </w:r>
    </w:p>
    <w:p>
      <w:pPr>
        <w:pStyle w:val="BodyText"/>
      </w:pPr>
      <w:r>
        <w:rPr>
          <w:rFonts w:hint="eastAsia"/>
        </w:rPr>
        <w:t xml:space="preserve">本研究の方法論上の中核的な限界は、テキスト上に漢方思考概念が出現しないことが、著者の頭の中にその認知が存在しないことを直接意味しない点である。限られた紙幅、読者層への配慮、思考の暗黙知としての性格が、テキスト化を阻む要因となりうる。この限界に対して、本研究はUnedaらとの三角測量、Q1の上限推定値としての位置づけ、そして学術文献が知識伝達の公的媒体であるという性格の三点で対処した。</w:t>
      </w:r>
    </w:p>
    <w:p>
      <w:pPr>
        <w:pStyle w:val="BodyText"/>
      </w:pPr>
      <w:r>
        <w:rPr>
          <w:rFonts w:hint="eastAsia"/>
        </w:rPr>
        <w:t xml:space="preserve">また、証の診断は主観的で信頼性に乏しいとの懸念がありうるが、Maeda-Minamiらは漢方専門医3名による虚実の評価者間信頼性がGwet’s</w:t>
      </w:r>
      <w:r>
        <w:t xml:space="preserve"> </w:t>
      </w:r>
      <w:r>
        <w:rPr>
          <w:rFonts w:hint="eastAsia"/>
        </w:rPr>
        <w:t xml:space="preserve">AC2=0.708であることを報告しており[10]、証の評価は記録に値する水準の再現性を持つ。証がテキストに記載されていないのは、概念の信頼性の低さによるものではなく、記述の習慣や媒体の制約に起因する可能性が高い。</w:t>
      </w:r>
    </w:p>
    <w:p>
      <w:pPr>
        <w:pStyle w:val="BodyText"/>
      </w:pPr>
      <w:r>
        <w:rPr>
          <w:rFonts w:hint="eastAsia"/>
        </w:rPr>
        <w:t xml:space="preserve">テキスト上に記述されていない思考は、文献を通じて次世代に伝達されない。著者の頭の中に認知が存在するか否かにかかわらず、テキスト上の認知の欠落は知識の継承という観点からは実質的な欠落と等価である。</w:t>
      </w:r>
    </w:p>
    <w:p>
      <w:pPr>
        <w:pStyle w:val="BodyText"/>
      </w:pPr>
      <w:r>
        <w:rPr>
          <w:rFonts w:hint="eastAsia"/>
        </w:rPr>
        <w:t xml:space="preserve">臨床推論が文献やカルテに十分に記録されない問題は漢方医学に固有ではない。Ciminoらは電子カルテにおける本態性高血圧の記載を分析し、臨床推論の過程が記録されることが少ない傾向を報告している[7]。Kämmerらは鑑別診断チェックリストが診断正確度を有意に改善することを実験的に示し[8]、Vallyらは診断エラーに関するレビューで推論の明示化と構造化を提唱している[9]。漢方医学における認知ギャップはこの普遍的な課題の漢方固有の発現と位置づけられるが、漢方医学には問題を増幅する固有の要因がある。西洋医学では検査データという客観的記録が残るのに対し、漢方医学の推論は身体診察所見（脈診、舌診、腹診）と証に依存しており、テキスト化されなければ記録が残らない。漢方医学における思考の記録は、西洋医学のそれよりも喫緊性が高い。</w:t>
      </w:r>
    </w:p>
    <w:p>
      <w:pPr>
        <w:pStyle w:val="BodyText"/>
      </w:pPr>
      <w:r>
        <w:rPr>
          <w:rFonts w:hint="eastAsia"/>
        </w:rPr>
        <w:t xml:space="preserve">本研究にはいくつかの限界がある。第一に、分析対象を日本東洋医学雑誌とPubMedに限定し、他の日本語誌（漢方と最新治療、和漢医薬学会誌等）や医中誌Webは検索していない。第二に、タイトルと抄録のみを分析対象としており、本文全体を分析すれば認知ギャップが低下する可能性があるが、抄録に記述されない思考は検索・閲覧の段階で読者に届かない。第三に、横断的記述研究であり、認知ギャップの原因や帰結について因果的推論はできない。第四に、40件のサンプリング検証は辞書の改善に寄与したが、10,535件全体の正確度を保証するものではなく、抄録を欠く論文（kampo群の16.8%）では検出感度が低下する。第五に、テキスト上の概念の「出現」を検出するのみで、記述の「質」や「妥当性」は評価していない。</w:t>
      </w:r>
    </w:p>
    <w:p>
      <w:r>
        <w:pict>
          <v:rect style="width:0;height:1.5pt" o:hralign="center" o:hrstd="t" o:hr="t"/>
        </w:pict>
      </w:r>
    </w:p>
    <w:bookmarkEnd w:id="31"/>
    <w:bookmarkStart w:id="32" w:name="結語"/>
    <w:p>
      <w:pPr>
        <w:pStyle w:val="Heading2"/>
      </w:pPr>
      <w:r>
        <w:rPr>
          <w:rFonts w:hint="eastAsia"/>
        </w:rPr>
        <w:t xml:space="preserve">結語</w:t>
      </w:r>
    </w:p>
    <w:p>
      <w:pPr>
        <w:pStyle w:val="FirstParagraph"/>
      </w:pPr>
      <w:r>
        <w:rPr>
          <w:rFonts w:hint="eastAsia"/>
        </w:rPr>
        <w:t xml:space="preserve">本研究は、漢方関連文献10,535件のテキストマイニングにより、処方名に言及しながら漢方思考概念に言及しない論文の割合を「認知ギャップ」として初めて定量化した。日本東洋医学雑誌では53.1%、PubMed漢方論文では97.5%の認知ギャップが認められ、この差は言語間認知格差として処方の種類を問わず観察された。</w:t>
      </w:r>
    </w:p>
    <w:p>
      <w:pPr>
        <w:pStyle w:val="BodyText"/>
      </w:pPr>
      <w:r>
        <w:rPr>
          <w:rFonts w:hint="eastAsia"/>
        </w:rPr>
        <w:t xml:space="preserve">漢方薬の処方は日本の医療に広く普及した。しかし、処方の根拠となる思考が学術文献に記録されなければ、その思考は次世代に継承されず、エビデンスの構築にも反映されない。認知ギャップの縮小は、漢方の教育・研究・臨床の質を高めるための介入点として検証に値する。漢方の思考体系を臨床の場で起動させ、それを学術文献に記録するという二重の課題は、漢方医学教育の具体的な到達目標として位置づけうる。</w:t>
      </w:r>
    </w:p>
    <w:p>
      <w:pPr>
        <w:pStyle w:val="BodyText"/>
      </w:pPr>
      <w:r>
        <w:rPr>
          <w:rFonts w:hint="eastAsia"/>
        </w:rPr>
        <w:t xml:space="preserve">具体的には、症例報告における証・気血水・腹証の明示的な記述の推奨、英語論文においても漢方診断の過程を構造的に記録する報告様式の検討、そして漢方の臨床推論を記述するための教育プログラムの開発が、今後の取り組みとして提案される。</w:t>
      </w:r>
    </w:p>
    <w:p>
      <w:r>
        <w:pict>
          <v:rect style="width:0;height:1.5pt" o:hralign="center" o:hrstd="t" o:hr="t"/>
        </w:pict>
      </w:r>
    </w:p>
    <w:bookmarkEnd w:id="32"/>
    <w:bookmarkStart w:id="33" w:name="引用文献"/>
    <w:p>
      <w:pPr>
        <w:pStyle w:val="Heading2"/>
      </w:pPr>
      <w:r>
        <w:rPr>
          <w:rFonts w:hint="eastAsia"/>
        </w:rPr>
        <w:t xml:space="preserve">引用文献</w:t>
      </w:r>
    </w:p>
    <w:p>
      <w:pPr>
        <w:pStyle w:val="Compact"/>
        <w:numPr>
          <w:ilvl w:val="0"/>
          <w:numId w:val="1002"/>
        </w:numPr>
      </w:pPr>
      <w:r>
        <w:t xml:space="preserve">Katayama K, Yoshino T, Munakata K, et al. Prescription of Kampo drugs in the Japanese health care insurance program. Evid Based Complement Alternat Med. 2013;2013:576973. doi:10.1155/2013/576973</w:t>
      </w:r>
    </w:p>
    <w:p>
      <w:pPr>
        <w:pStyle w:val="Compact"/>
        <w:numPr>
          <w:ilvl w:val="0"/>
          <w:numId w:val="1002"/>
        </w:numPr>
      </w:pPr>
      <w:r>
        <w:t xml:space="preserve">Uneda K, Yoshino T, Ito H, Imoto S, Nogami T. Current situation and future issues with Kampo medicine: a survey of Japanese physicians. Tradit Kampo Med. 2024;11(2):156-166. doi:10.1002/tkm2.20058</w:t>
      </w:r>
    </w:p>
    <w:p>
      <w:pPr>
        <w:pStyle w:val="Compact"/>
        <w:numPr>
          <w:ilvl w:val="0"/>
          <w:numId w:val="1002"/>
        </w:numPr>
      </w:pPr>
      <w:r>
        <w:t xml:space="preserve">Oka T, Okumi H, Nishida S, et al. Effects of Kampo on functional gastrointestinal disorders. Biopsychosoc Med. 2014;8:5. doi:10.1186/1751-0759-8-5</w:t>
      </w:r>
    </w:p>
    <w:p>
      <w:pPr>
        <w:pStyle w:val="Compact"/>
        <w:numPr>
          <w:ilvl w:val="0"/>
          <w:numId w:val="1002"/>
        </w:numPr>
      </w:pPr>
      <w:r>
        <w:rPr>
          <w:rFonts w:hint="eastAsia"/>
        </w:rPr>
        <w:t xml:space="preserve">冨岡洋海,</w:t>
      </w:r>
      <w:r>
        <w:t xml:space="preserve"> </w:t>
      </w:r>
      <w:r>
        <w:rPr>
          <w:rFonts w:hint="eastAsia"/>
        </w:rPr>
        <w:t xml:space="preserve">橋本公夫,</w:t>
      </w:r>
      <w:r>
        <w:t xml:space="preserve"> </w:t>
      </w:r>
      <w:r>
        <w:rPr>
          <w:rFonts w:hint="eastAsia"/>
        </w:rPr>
        <w:t xml:space="preserve">大西尚,</w:t>
      </w:r>
      <w:r>
        <w:t xml:space="preserve"> </w:t>
      </w:r>
      <w:r>
        <w:rPr>
          <w:rFonts w:hint="eastAsia"/>
        </w:rPr>
        <w:t xml:space="preserve">他.</w:t>
      </w:r>
      <w:r>
        <w:t xml:space="preserve"> </w:t>
      </w:r>
      <w:r>
        <w:rPr>
          <w:rFonts w:hint="eastAsia"/>
        </w:rPr>
        <w:t xml:space="preserve">小柴胡湯服用中に発症した間質性肺炎の1剖検例.</w:t>
      </w:r>
      <w:r>
        <w:t xml:space="preserve"> </w:t>
      </w:r>
      <w:r>
        <w:rPr>
          <w:rFonts w:hint="eastAsia"/>
        </w:rPr>
        <w:t xml:space="preserve">日呼吸会誌.</w:t>
      </w:r>
      <w:r>
        <w:t xml:space="preserve"> 1999;37(12):1013-1018.</w:t>
      </w:r>
    </w:p>
    <w:p>
      <w:pPr>
        <w:pStyle w:val="Compact"/>
        <w:numPr>
          <w:ilvl w:val="0"/>
          <w:numId w:val="1002"/>
        </w:numPr>
      </w:pPr>
      <w:r>
        <w:t xml:space="preserve">Motoo Y, Arai I, Tsutani K. Use of Kampo diagnosis in randomized controlled trials of Kampo products in Japan: a systematic review. PLoS One. 2014;9(8):e104422. doi:10.1371/journal.pone.0104422</w:t>
      </w:r>
    </w:p>
    <w:p>
      <w:pPr>
        <w:pStyle w:val="Compact"/>
        <w:numPr>
          <w:ilvl w:val="0"/>
          <w:numId w:val="1002"/>
        </w:numPr>
      </w:pPr>
      <w:r>
        <w:t xml:space="preserve">Motoo Y, Arai I, Kogure T, Tsutani K. Review of the first 20 years of the evidence-based medicine Committee of the Japan Society for Oriental Medicine. Tradit Kampo Med. 2021;8(2):123-129. doi:10.1002/tkm2.1280</w:t>
      </w:r>
    </w:p>
    <w:p>
      <w:pPr>
        <w:pStyle w:val="Compact"/>
        <w:numPr>
          <w:ilvl w:val="0"/>
          <w:numId w:val="1002"/>
        </w:numPr>
      </w:pPr>
      <w:r>
        <w:t xml:space="preserve">Cimino JJ, Martin HD, Colicchio TK. Capturing clinician reasoning in electronic health records: an exploratory study of under-treated essential hypertension. AMIA Annu Symp Proc. 2020;2020:311-318.</w:t>
      </w:r>
    </w:p>
    <w:p>
      <w:pPr>
        <w:pStyle w:val="Compact"/>
        <w:numPr>
          <w:ilvl w:val="0"/>
          <w:numId w:val="1002"/>
        </w:numPr>
      </w:pPr>
      <w:r>
        <w:t xml:space="preserve">Kämmer JE, Schauber SK, Hautz SC, et al. Differential diagnosis checklists reduce diagnostic error differentially: a randomised experiment. Med Educ. 2021;55(10):1172-1182. doi:10.1111/medu.14513</w:t>
      </w:r>
    </w:p>
    <w:p>
      <w:pPr>
        <w:pStyle w:val="Compact"/>
        <w:numPr>
          <w:ilvl w:val="0"/>
          <w:numId w:val="1002"/>
        </w:numPr>
      </w:pPr>
      <w:r>
        <w:t xml:space="preserve">Vally ZI, Khammissa RAG, Feller G, et al. Errors in clinical diagnosis: a narrative review. J Int Med Res. 2023;51(8):3000605231162798. doi:10.1177/03000605231162798</w:t>
      </w:r>
    </w:p>
    <w:p>
      <w:pPr>
        <w:pStyle w:val="Compact"/>
        <w:numPr>
          <w:ilvl w:val="0"/>
          <w:numId w:val="1002"/>
        </w:numPr>
      </w:pPr>
      <w:r>
        <w:t xml:space="preserve">Maeda-Minami A, Yoshino T, Horiba Y, Nakamura T, Watanabe K. Inter-rater reliability of Kampo diagnosis for chronic diseases. J Altern Complement Med. 2021;27(7):613-616. doi:10.1089/acm.2020.0526</w:t>
      </w:r>
    </w:p>
    <w:p>
      <w:pPr>
        <w:pStyle w:val="Compact"/>
        <w:numPr>
          <w:ilvl w:val="0"/>
          <w:numId w:val="1002"/>
        </w:numPr>
      </w:pPr>
      <w:r>
        <w:t xml:space="preserve">Uneda K, Yoshino T, Ito H, Imoto S, Nogami T. Japanese online survey evaluating the association between undergraduate education and clinical practice in Kampo medicine. Tradit Kampo Med. 2025. doi:10.1002/tkm2.70027</w:t>
      </w:r>
    </w:p>
    <w:p>
      <w:pPr>
        <w:pStyle w:val="Compact"/>
        <w:numPr>
          <w:ilvl w:val="0"/>
          <w:numId w:val="1002"/>
        </w:numPr>
      </w:pPr>
      <w:r>
        <w:rPr>
          <w:rFonts w:hint="eastAsia"/>
        </w:rPr>
        <w:t xml:space="preserve">文部科学省.</w:t>
      </w:r>
      <w:r>
        <w:t xml:space="preserve"> </w:t>
      </w:r>
      <w:r>
        <w:rPr>
          <w:rFonts w:hint="eastAsia"/>
        </w:rPr>
        <w:t xml:space="preserve">医学教育モデル・コア・カリキュラム（平成13年度版）.</w:t>
      </w:r>
      <w:r>
        <w:t xml:space="preserve"> 2001.</w:t>
      </w:r>
    </w:p>
    <w:p>
      <w:pPr>
        <w:pStyle w:val="Compact"/>
        <w:numPr>
          <w:ilvl w:val="0"/>
          <w:numId w:val="1002"/>
        </w:numPr>
      </w:pPr>
      <w:r>
        <w:t xml:space="preserve">Watanabe K, Matsuura K, Gao P, et al. Traditional Japanese Kampo medicine: clinical research between modernity and traditional medicine. Evid Based Complement Alternat Med. 2011;2011:513842. doi:10.1093/ecam/neq070</w:t>
      </w:r>
    </w:p>
    <w:p>
      <w:pPr>
        <w:pStyle w:val="Compact"/>
        <w:numPr>
          <w:ilvl w:val="0"/>
          <w:numId w:val="1002"/>
        </w:numPr>
      </w:pPr>
      <w:r>
        <w:t xml:space="preserve">Robinson N, Liu JP, Gan YN, Li DD. Practical guidance on bibliometric analysis and mapping knowledge domains methodology. Eur J Integr Med. 2022;56:102202. doi:10.1016/j.eujim.2022.102202</w:t>
      </w:r>
    </w:p>
    <w:p>
      <w:pPr>
        <w:pStyle w:val="Compact"/>
        <w:numPr>
          <w:ilvl w:val="0"/>
          <w:numId w:val="1002"/>
        </w:numPr>
      </w:pPr>
      <w:r>
        <w:t xml:space="preserve">Fleuren WW, Alkema W. Application of text mining in the biomedical domain. Methods. 2015;74:97-106. doi:10.1016/j.ymeth.2014.10.015</w:t>
      </w:r>
    </w:p>
    <w:p>
      <w:r>
        <w:pict>
          <v:rect style="width:0;height:1.5pt" o:hralign="center" o:hrstd="t" o:hr="t"/>
        </w:pict>
      </w:r>
    </w:p>
    <w:bookmarkEnd w:id="33"/>
    <w:bookmarkStart w:id="42" w:name="スタイル監査報告"/>
    <w:p>
      <w:pPr>
        <w:pStyle w:val="Heading2"/>
      </w:pPr>
      <w:r>
        <w:t xml:space="preserve">■ </w:t>
      </w:r>
      <w:r>
        <w:rPr>
          <w:rFonts w:hint="eastAsia"/>
        </w:rPr>
        <w:t xml:space="preserve">スタイル監査報告</w:t>
      </w:r>
    </w:p>
    <w:bookmarkStart w:id="34" w:name="検出方法"/>
    <w:p>
      <w:pPr>
        <w:pStyle w:val="Heading3"/>
      </w:pPr>
      <w:r>
        <w:rPr>
          <w:rFonts w:hint="eastAsia"/>
        </w:rPr>
        <w:t xml:space="preserve">検出方法</w:t>
      </w:r>
    </w:p>
    <w:p>
      <w:pPr>
        <w:pStyle w:val="FirstParagraph"/>
      </w:pPr>
      <w:r>
        <w:rPr>
          <w:rFonts w:hint="eastAsia"/>
        </w:rPr>
        <w:t xml:space="preserve">全統合テキストに対して以下のAI臭パターンを検索し、行番号と修正提案を報告する。</w:t>
      </w:r>
    </w:p>
    <w:bookmarkEnd w:id="34"/>
    <w:bookmarkStart w:id="35" w:name="パターン1em-dashの使用"/>
    <w:p>
      <w:pPr>
        <w:pStyle w:val="Heading3"/>
      </w:pPr>
      <w:r>
        <w:rPr>
          <w:rFonts w:hint="eastAsia"/>
        </w:rPr>
        <w:t xml:space="preserve">パターン1：em</w:t>
      </w:r>
      <w:r>
        <w:t xml:space="preserve"> </w:t>
      </w:r>
      <w:r>
        <w:rPr>
          <w:rFonts w:hint="eastAsia"/>
        </w:rPr>
        <w:t xml:space="preserve">dash（——）の使用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箇所</w:t>
            </w:r>
          </w:p>
        </w:tc>
        <w:tc>
          <w:tcPr/>
          <w:p>
            <w:pPr>
              <w:pStyle w:val="Compact"/>
            </w:pPr>
            <w:r>
              <w:rPr>
                <w:rFonts w:hint="eastAsia"/>
              </w:rPr>
              <w:t xml:space="preserve">原文</w:t>
            </w:r>
          </w:p>
        </w:tc>
        <w:tc>
          <w:tcPr/>
          <w:p>
            <w:pPr>
              <w:pStyle w:val="Compact"/>
            </w:pPr>
            <w:r>
              <w:rPr>
                <w:rFonts w:hint="eastAsia"/>
              </w:rPr>
              <w:t xml:space="preserve">判定</w:t>
            </w:r>
          </w:p>
        </w:tc>
      </w:tr>
      <w:tr>
        <w:tc>
          <w:tcPr/>
          <w:p>
            <w:pPr>
              <w:pStyle w:val="Compact"/>
            </w:pPr>
            <w:r>
              <w:rPr>
                <w:rFonts w:hint="eastAsia"/>
              </w:rPr>
              <w:t xml:space="preserve">緒言3段落</w:t>
            </w:r>
          </w:p>
        </w:tc>
        <w:tc>
          <w:tcPr/>
          <w:p>
            <w:pPr>
              <w:pStyle w:val="Compact"/>
            </w:pPr>
            <w:r>
              <w:rPr>
                <w:rFonts w:hint="eastAsia"/>
              </w:rPr>
              <w:t xml:space="preserve">「もう一つの体系で——」型の用法</w:t>
            </w:r>
          </w:p>
        </w:tc>
        <w:tc>
          <w:tcPr/>
          <w:p>
            <w:pPr>
              <w:pStyle w:val="Compact"/>
            </w:pPr>
            <w:r>
              <w:rPr>
                <w:b/>
                <w:bCs/>
              </w:rPr>
              <w:t xml:space="preserve">なし</w:t>
            </w:r>
            <w:r>
              <w:rPr>
                <w:rFonts w:hint="eastAsia"/>
              </w:rPr>
              <w:t xml:space="preserve">（全角ダッシュ未使用）</w:t>
            </w:r>
          </w:p>
        </w:tc>
      </w:tr>
    </w:tbl>
    <w:p>
      <w:pPr>
        <w:pStyle w:val="BodyText"/>
      </w:pPr>
      <w:r>
        <w:t xml:space="preserve">→ </w:t>
      </w:r>
      <w:r>
        <w:rPr>
          <w:rFonts w:hint="eastAsia"/>
        </w:rPr>
        <w:t xml:space="preserve">問題なし。日本語論文として自然な句読点のみ使用。</w:t>
      </w:r>
    </w:p>
    <w:bookmarkEnd w:id="35"/>
    <w:bookmarkStart w:id="36" w:name="パターン2not-x-but-y構文xではなくyの過剰使用"/>
    <w:p>
      <w:pPr>
        <w:pStyle w:val="Heading3"/>
      </w:pPr>
      <w:r>
        <w:rPr>
          <w:rFonts w:hint="eastAsia"/>
        </w:rPr>
        <w:t xml:space="preserve">パターン2：「not</w:t>
      </w:r>
      <w:r>
        <w:t xml:space="preserve"> X but </w:t>
      </w:r>
      <w:r>
        <w:rPr>
          <w:rFonts w:hint="eastAsia"/>
        </w:rPr>
        <w:t xml:space="preserve">Y」構文（「XではなくY」の過剰使用）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箇所</w:t>
            </w:r>
          </w:p>
        </w:tc>
        <w:tc>
          <w:tcPr/>
          <w:p>
            <w:pPr>
              <w:pStyle w:val="Compact"/>
            </w:pPr>
            <w:r>
              <w:rPr>
                <w:rFonts w:hint="eastAsia"/>
              </w:rPr>
              <w:t xml:space="preserve">原文</w:t>
            </w:r>
          </w:p>
        </w:tc>
        <w:tc>
          <w:tcPr/>
          <w:p>
            <w:pPr>
              <w:pStyle w:val="Compact"/>
            </w:pPr>
            <w:r>
              <w:rPr>
                <w:rFonts w:hint="eastAsia"/>
              </w:rPr>
              <w:t xml:space="preserve">判定</w:t>
            </w:r>
          </w:p>
        </w:tc>
      </w:tr>
      <w:tr>
        <w:tc>
          <w:tcPr/>
          <w:p>
            <w:pPr>
              <w:pStyle w:val="Compact"/>
            </w:pPr>
            <w:r>
              <w:rPr>
                <w:rFonts w:hint="eastAsia"/>
              </w:rPr>
              <w:t xml:space="preserve">考察5</w:t>
            </w:r>
          </w:p>
        </w:tc>
        <w:tc>
          <w:tcPr/>
          <w:p>
            <w:pPr>
              <w:pStyle w:val="Compact"/>
            </w:pPr>
            <w:r>
              <w:rPr>
                <w:rFonts w:hint="eastAsia"/>
              </w:rPr>
              <w:t xml:space="preserve">「著者の頭の中にその認知が存在しないことを直接意味するわけではない」</w:t>
            </w:r>
          </w:p>
        </w:tc>
        <w:tc>
          <w:tcPr/>
          <w:p>
            <w:pPr>
              <w:pStyle w:val="Compact"/>
            </w:pPr>
            <w:r>
              <w:rPr>
                <w:rFonts w:hint="eastAsia"/>
              </w:rPr>
              <w:t xml:space="preserve">許容（操作的定義の限界記述に必要）</w:t>
            </w:r>
          </w:p>
        </w:tc>
      </w:tr>
      <w:tr>
        <w:tc>
          <w:tcPr/>
          <w:p>
            <w:pPr>
              <w:pStyle w:val="Compact"/>
            </w:pPr>
            <w:r>
              <w:rPr>
                <w:rFonts w:hint="eastAsia"/>
              </w:rPr>
              <w:t xml:space="preserve">考察3</w:t>
            </w:r>
          </w:p>
        </w:tc>
        <w:tc>
          <w:tcPr/>
          <w:p>
            <w:pPr>
              <w:pStyle w:val="Compact"/>
            </w:pPr>
            <w:r>
              <w:rPr>
                <w:rFonts w:hint="eastAsia"/>
              </w:rPr>
              <w:t xml:space="preserve">「失われているのは語彙ではなく、語彙を意味づける認識の枠組みそのものである」</w:t>
            </w:r>
          </w:p>
        </w:tc>
        <w:tc>
          <w:tcPr/>
          <w:p>
            <w:pPr>
              <w:pStyle w:val="Compact"/>
            </w:pPr>
            <w:r>
              <w:rPr>
                <w:rFonts w:hint="eastAsia"/>
              </w:rPr>
              <w:t xml:space="preserve">対句構造だが分析結果の核心を簡潔に表現しており内容的に正当。許容。</w:t>
            </w:r>
          </w:p>
        </w:tc>
      </w:tr>
    </w:tbl>
    <w:p>
      <w:pPr>
        <w:pStyle w:val="BodyText"/>
      </w:pPr>
      <w:r>
        <w:t xml:space="preserve">→ </w:t>
      </w:r>
      <w:r>
        <w:rPr>
          <w:rFonts w:hint="eastAsia"/>
        </w:rPr>
        <w:t xml:space="preserve">2件検出、いずれも内容的に正当。修正不要。</w:t>
      </w:r>
    </w:p>
    <w:bookmarkEnd w:id="36"/>
    <w:bookmarkStart w:id="37" w:name="パターン3remainsに相当するであるの乱用"/>
    <w:p>
      <w:pPr>
        <w:pStyle w:val="Heading3"/>
      </w:pPr>
      <w:r>
        <w:rPr>
          <w:rFonts w:hint="eastAsia"/>
        </w:rPr>
        <w:t xml:space="preserve">パターン3：「remains」に相当する「〜である」の乱用</w:t>
      </w:r>
    </w:p>
    <w:p>
      <w:pPr>
        <w:pStyle w:val="FirstParagraph"/>
      </w:pPr>
      <w:r>
        <w:t xml:space="preserve">→ </w:t>
      </w:r>
      <w:r>
        <w:rPr>
          <w:rFonts w:hint="eastAsia"/>
        </w:rPr>
        <w:t xml:space="preserve">「〜である」の使用は日本語論文として標準的。過剰な「依然として〜である」パターンは検出されず。</w:t>
      </w:r>
    </w:p>
    <w:bookmarkEnd w:id="37"/>
    <w:bookmarkStart w:id="38" w:name="パターン4メタコメンタリー本節では以下で述べる等"/>
    <w:p>
      <w:pPr>
        <w:pStyle w:val="Heading3"/>
      </w:pPr>
      <w:r>
        <w:rPr>
          <w:rFonts w:hint="eastAsia"/>
        </w:rPr>
        <w:t xml:space="preserve">パターン4：メタコメンタリー（「本節では」「以下で述べる」等）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箇所</w:t>
            </w:r>
          </w:p>
        </w:tc>
        <w:tc>
          <w:tcPr/>
          <w:p>
            <w:pPr>
              <w:pStyle w:val="Compact"/>
            </w:pPr>
            <w:r>
              <w:rPr>
                <w:rFonts w:hint="eastAsia"/>
              </w:rPr>
              <w:t xml:space="preserve">原文</w:t>
            </w:r>
          </w:p>
        </w:tc>
        <w:tc>
          <w:tcPr/>
          <w:p>
            <w:pPr>
              <w:pStyle w:val="Compact"/>
            </w:pPr>
            <w:r>
              <w:rPr>
                <w:rFonts w:hint="eastAsia"/>
              </w:rPr>
              <w:t xml:space="preserve">判定</w:t>
            </w:r>
          </w:p>
        </w:tc>
      </w:tr>
      <w:tr>
        <w:tc>
          <w:tcPr/>
          <w:p>
            <w:pPr>
              <w:pStyle w:val="Compact"/>
            </w:pPr>
            <w:r>
              <w:rPr>
                <w:rFonts w:hint="eastAsia"/>
              </w:rPr>
              <w:t xml:space="preserve">緒言3</w:t>
            </w:r>
          </w:p>
        </w:tc>
        <w:tc>
          <w:tcPr/>
          <w:p>
            <w:pPr>
              <w:pStyle w:val="Compact"/>
            </w:pPr>
            <w:r>
              <w:rPr>
                <w:rFonts w:hint="eastAsia"/>
              </w:rPr>
              <w:t xml:space="preserve">「この限界は考察で論じる」</w:t>
            </w:r>
          </w:p>
        </w:tc>
        <w:tc>
          <w:tcPr/>
          <w:p>
            <w:pPr>
              <w:pStyle w:val="Compact"/>
            </w:pPr>
            <w:r>
              <w:rPr>
                <w:rFonts w:hint="eastAsia"/>
              </w:rPr>
              <w:t xml:space="preserve">許容（参照関係の明示）</w:t>
            </w:r>
          </w:p>
        </w:tc>
      </w:tr>
      <w:tr>
        <w:tc>
          <w:tcPr/>
          <w:p>
            <w:pPr>
              <w:pStyle w:val="Compact"/>
            </w:pPr>
            <w:r>
              <w:rPr>
                <w:rFonts w:hint="eastAsia"/>
              </w:rPr>
              <w:t xml:space="preserve">方法1</w:t>
            </w:r>
          </w:p>
        </w:tc>
        <w:tc>
          <w:tcPr/>
          <w:p>
            <w:pPr>
              <w:pStyle w:val="Compact"/>
            </w:pPr>
            <w:r>
              <w:rPr>
                <w:rFonts w:hint="eastAsia"/>
              </w:rPr>
              <w:t xml:space="preserve">「この区別の含意については考察で論じる」</w:t>
            </w:r>
          </w:p>
        </w:tc>
        <w:tc>
          <w:tcPr/>
          <w:p>
            <w:pPr>
              <w:pStyle w:val="Compact"/>
            </w:pPr>
            <w:r>
              <w:rPr>
                <w:rFonts w:hint="eastAsia"/>
              </w:rPr>
              <w:t xml:space="preserve">許容（同上）</w:t>
            </w:r>
          </w:p>
        </w:tc>
      </w:tr>
      <w:tr>
        <w:tc>
          <w:tcPr/>
          <w:p>
            <w:pPr>
              <w:pStyle w:val="Compact"/>
            </w:pPr>
            <w:r>
              <w:rPr>
                <w:rFonts w:hint="eastAsia"/>
              </w:rPr>
              <w:t xml:space="preserve">結果2</w:t>
            </w:r>
          </w:p>
        </w:tc>
        <w:tc>
          <w:tcPr/>
          <w:p>
            <w:pPr>
              <w:pStyle w:val="Compact"/>
            </w:pPr>
            <w:r>
              <w:rPr>
                <w:rFonts w:hint="eastAsia"/>
              </w:rPr>
              <w:t xml:space="preserve">「この収束については考察で論じる」</w:t>
            </w:r>
          </w:p>
        </w:tc>
        <w:tc>
          <w:tcPr/>
          <w:p>
            <w:pPr>
              <w:pStyle w:val="Compact"/>
            </w:pPr>
            <w:r>
              <w:rPr>
                <w:rFonts w:hint="eastAsia"/>
              </w:rPr>
              <w:t xml:space="preserve">許容（同上）</w:t>
            </w:r>
          </w:p>
        </w:tc>
      </w:tr>
    </w:tbl>
    <w:p>
      <w:pPr>
        <w:pStyle w:val="BodyText"/>
      </w:pPr>
      <w:r>
        <w:t xml:space="preserve">→ </w:t>
      </w:r>
      <w:r>
        <w:rPr>
          <w:rFonts w:hint="eastAsia"/>
        </w:rPr>
        <w:t xml:space="preserve">3件検出。いずれもセクション間の参照であり、過剰なメタコメンタリーには該当しない。</w:t>
      </w:r>
    </w:p>
    <w:bookmarkEnd w:id="38"/>
    <w:bookmarkStart w:id="39" w:name="パターン5ai定型表現"/>
    <w:p>
      <w:pPr>
        <w:pStyle w:val="Heading3"/>
      </w:pPr>
      <w:r>
        <w:rPr>
          <w:rFonts w:hint="eastAsia"/>
        </w:rPr>
        <w:t xml:space="preserve">パターン5：AI定型表現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箇所</w:t>
            </w:r>
          </w:p>
        </w:tc>
        <w:tc>
          <w:tcPr/>
          <w:p>
            <w:pPr>
              <w:pStyle w:val="Compact"/>
            </w:pPr>
            <w:r>
              <w:rPr>
                <w:rFonts w:hint="eastAsia"/>
              </w:rPr>
              <w:t xml:space="preserve">原文</w:t>
            </w:r>
          </w:p>
        </w:tc>
        <w:tc>
          <w:tcPr/>
          <w:p>
            <w:pPr>
              <w:pStyle w:val="Compact"/>
            </w:pPr>
            <w:r>
              <w:rPr>
                <w:rFonts w:hint="eastAsia"/>
              </w:rPr>
              <w:t xml:space="preserve">判定</w:t>
            </w:r>
          </w:p>
        </w:tc>
      </w:tr>
      <w:tr>
        <w:tc>
          <w:tcPr/>
          <w:p>
            <w:pPr>
              <w:pStyle w:val="Compact"/>
            </w:pPr>
            <w:r>
              <w:rPr>
                <w:rFonts w:hint="eastAsia"/>
              </w:rPr>
              <w:t xml:space="preserve">緒言2末</w:t>
            </w:r>
          </w:p>
        </w:tc>
        <w:tc>
          <w:tcPr/>
          <w:p>
            <w:pPr>
              <w:pStyle w:val="Compact"/>
            </w:pPr>
            <w:r>
              <w:rPr>
                <w:rFonts w:hint="eastAsia"/>
              </w:rPr>
              <w:t xml:space="preserve">「臨床的に実質的な帰結を伴う問題である」</w:t>
            </w:r>
          </w:p>
        </w:tc>
        <w:tc>
          <w:tcPr/>
          <w:p>
            <w:pPr>
              <w:pStyle w:val="Compact"/>
            </w:pPr>
            <w:r>
              <w:rPr>
                <w:rFonts w:hint="eastAsia"/>
              </w:rPr>
              <w:t xml:space="preserve">やや硬い。「臨床上の実害を伴う問題である」に修正可。</w:t>
            </w:r>
            <w:r>
              <w:rPr>
                <w:rFonts w:hint="eastAsia"/>
                <w:b/>
                <w:bCs/>
              </w:rPr>
              <w:t xml:space="preserve">軽微</w:t>
            </w:r>
          </w:p>
        </w:tc>
      </w:tr>
      <w:tr>
        <w:tc>
          <w:tcPr/>
          <w:p>
            <w:pPr>
              <w:pStyle w:val="Compact"/>
            </w:pPr>
            <w:r>
              <w:rPr>
                <w:rFonts w:hint="eastAsia"/>
              </w:rPr>
              <w:t xml:space="preserve">方法3.2</w:t>
            </w:r>
          </w:p>
        </w:tc>
        <w:tc>
          <w:tcPr/>
          <w:p>
            <w:pPr>
              <w:pStyle w:val="Compact"/>
            </w:pPr>
            <w:r>
              <w:rPr>
                <w:rFonts w:hint="eastAsia"/>
              </w:rPr>
              <w:t xml:space="preserve">「欠かせない」→緒言で「不可欠」を使用済み</w:t>
            </w:r>
          </w:p>
        </w:tc>
        <w:tc>
          <w:tcPr/>
          <w:p>
            <w:pPr>
              <w:pStyle w:val="Compact"/>
            </w:pPr>
            <w:r>
              <w:rPr>
                <w:rFonts w:hint="eastAsia"/>
              </w:rPr>
              <w:t xml:space="preserve">統合で「欠かせない」に統一済み。問題なし</w:t>
            </w:r>
          </w:p>
        </w:tc>
      </w:tr>
      <w:tr>
        <w:tc>
          <w:tcPr/>
          <w:p>
            <w:pPr>
              <w:pStyle w:val="Compact"/>
            </w:pPr>
            <w:r>
              <w:rPr>
                <w:rFonts w:hint="eastAsia"/>
              </w:rPr>
              <w:t xml:space="preserve">考察1</w:t>
            </w:r>
          </w:p>
        </w:tc>
        <w:tc>
          <w:tcPr/>
          <w:p>
            <w:pPr>
              <w:pStyle w:val="Compact"/>
            </w:pPr>
            <w:r>
              <w:rPr>
                <w:rFonts w:hint="eastAsia"/>
              </w:rPr>
              <w:t xml:space="preserve">「推定値の頑健性が確認された」</w:t>
            </w:r>
          </w:p>
        </w:tc>
        <w:tc>
          <w:tcPr/>
          <w:p>
            <w:pPr>
              <w:pStyle w:val="Compact"/>
            </w:pPr>
            <w:r>
              <w:rPr>
                <w:rFonts w:hint="eastAsia"/>
              </w:rPr>
              <w:t xml:space="preserve">自然。問題なし</w:t>
            </w:r>
          </w:p>
        </w:tc>
      </w:tr>
      <w:tr>
        <w:tc>
          <w:tcPr/>
          <w:p>
            <w:pPr>
              <w:pStyle w:val="Compact"/>
            </w:pPr>
            <w:r>
              <w:rPr>
                <w:rFonts w:hint="eastAsia"/>
              </w:rPr>
              <w:t xml:space="preserve">考察6</w:t>
            </w:r>
          </w:p>
        </w:tc>
        <w:tc>
          <w:tcPr/>
          <w:p>
            <w:pPr>
              <w:pStyle w:val="Compact"/>
            </w:pPr>
            <w:r>
              <w:rPr>
                <w:rFonts w:hint="eastAsia"/>
              </w:rPr>
              <w:t xml:space="preserve">「喫緊性が高い」</w:t>
            </w:r>
          </w:p>
        </w:tc>
        <w:tc>
          <w:tcPr/>
          <w:p>
            <w:pPr>
              <w:pStyle w:val="Compact"/>
            </w:pPr>
            <w:r>
              <w:rPr>
                <w:rFonts w:hint="eastAsia"/>
              </w:rPr>
              <w:t xml:space="preserve">やや硬いが学術日本語として標準的。許容</w:t>
            </w:r>
          </w:p>
        </w:tc>
      </w:tr>
    </w:tbl>
    <w:p>
      <w:pPr>
        <w:pStyle w:val="BodyText"/>
      </w:pPr>
      <w:r>
        <w:t xml:space="preserve">→ </w:t>
      </w:r>
      <w:r>
        <w:rPr>
          <w:rFonts w:hint="eastAsia"/>
        </w:rPr>
        <w:t xml:space="preserve">1件軽微な修正候補。</w:t>
      </w:r>
    </w:p>
    <w:bookmarkEnd w:id="39"/>
    <w:bookmarkStart w:id="40" w:name="パターン6同一表現の過剰反復"/>
    <w:p>
      <w:pPr>
        <w:pStyle w:val="Heading3"/>
      </w:pPr>
      <w:r>
        <w:rPr>
          <w:rFonts w:hint="eastAsia"/>
        </w:rPr>
        <w:t xml:space="preserve">パターン6：同一表現の過剰反復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表現</w:t>
            </w:r>
          </w:p>
        </w:tc>
        <w:tc>
          <w:tcPr/>
          <w:p>
            <w:pPr>
              <w:pStyle w:val="Compact"/>
            </w:pPr>
            <w:r>
              <w:rPr>
                <w:rFonts w:hint="eastAsia"/>
              </w:rPr>
              <w:t xml:space="preserve">出現回数</w:t>
            </w:r>
          </w:p>
        </w:tc>
        <w:tc>
          <w:tcPr/>
          <w:p>
            <w:pPr>
              <w:pStyle w:val="Compact"/>
            </w:pPr>
            <w:r>
              <w:rPr>
                <w:rFonts w:hint="eastAsia"/>
              </w:rPr>
              <w:t xml:space="preserve">判定</w:t>
            </w:r>
          </w:p>
        </w:tc>
      </w:tr>
      <w:tr>
        <w:tc>
          <w:tcPr/>
          <w:p>
            <w:pPr>
              <w:pStyle w:val="Compact"/>
            </w:pPr>
            <w:r>
              <w:rPr>
                <w:rFonts w:hint="eastAsia"/>
              </w:rPr>
              <w:t xml:space="preserve">「認知ギャップ」</w:t>
            </w:r>
          </w:p>
        </w:tc>
        <w:tc>
          <w:tcPr/>
          <w:p>
            <w:pPr>
              <w:pStyle w:val="Compact"/>
            </w:pPr>
            <w:r>
              <w:rPr>
                <w:rFonts w:hint="eastAsia"/>
              </w:rPr>
              <w:t xml:space="preserve">42回</w:t>
            </w:r>
          </w:p>
        </w:tc>
        <w:tc>
          <w:tcPr/>
          <w:p>
            <w:pPr>
              <w:pStyle w:val="Compact"/>
            </w:pPr>
            <w:r>
              <w:rPr>
                <w:rFonts w:hint="eastAsia"/>
              </w:rPr>
              <w:t xml:space="preserve">論文のキータームであり不可避</w:t>
            </w:r>
          </w:p>
        </w:tc>
      </w:tr>
      <w:tr>
        <w:tc>
          <w:tcPr/>
          <w:p>
            <w:pPr>
              <w:pStyle w:val="Compact"/>
            </w:pPr>
            <w:r>
              <w:rPr>
                <w:rFonts w:hint="eastAsia"/>
              </w:rPr>
              <w:t xml:space="preserve">「漢方思考概念」</w:t>
            </w:r>
          </w:p>
        </w:tc>
        <w:tc>
          <w:tcPr/>
          <w:p>
            <w:pPr>
              <w:pStyle w:val="Compact"/>
            </w:pPr>
            <w:r>
              <w:rPr>
                <w:rFonts w:hint="eastAsia"/>
              </w:rPr>
              <w:t xml:space="preserve">21回</w:t>
            </w:r>
          </w:p>
        </w:tc>
        <w:tc>
          <w:tcPr/>
          <w:p>
            <w:pPr>
              <w:pStyle w:val="Compact"/>
            </w:pPr>
            <w:r>
              <w:rPr>
                <w:rFonts w:hint="eastAsia"/>
              </w:rPr>
              <w:t xml:space="preserve">同上</w:t>
            </w:r>
          </w:p>
        </w:tc>
      </w:tr>
      <w:tr>
        <w:tc>
          <w:tcPr/>
          <w:p>
            <w:pPr>
              <w:pStyle w:val="Compact"/>
            </w:pPr>
            <w:r>
              <w:rPr>
                <w:rFonts w:hint="eastAsia"/>
              </w:rPr>
              <w:t xml:space="preserve">「処方名に言及する」</w:t>
            </w:r>
          </w:p>
        </w:tc>
        <w:tc>
          <w:tcPr/>
          <w:p>
            <w:pPr>
              <w:pStyle w:val="Compact"/>
            </w:pPr>
            <w:r>
              <w:rPr>
                <w:rFonts w:hint="eastAsia"/>
              </w:rPr>
              <w:t xml:space="preserve">7回</w:t>
            </w:r>
          </w:p>
        </w:tc>
        <w:tc>
          <w:tcPr/>
          <w:p>
            <w:pPr>
              <w:pStyle w:val="Compact"/>
            </w:pPr>
            <w:r>
              <w:rPr>
                <w:rFonts w:hint="eastAsia"/>
              </w:rPr>
              <w:t xml:space="preserve">方法・結果での反復は容認</w:t>
            </w:r>
          </w:p>
        </w:tc>
      </w:tr>
      <w:tr>
        <w:tc>
          <w:tcPr/>
          <w:p>
            <w:pPr>
              <w:pStyle w:val="Compact"/>
            </w:pPr>
            <w:r>
              <w:rPr>
                <w:rFonts w:hint="eastAsia"/>
              </w:rPr>
              <w:t xml:space="preserve">「テキスト上に」</w:t>
            </w:r>
          </w:p>
        </w:tc>
        <w:tc>
          <w:tcPr/>
          <w:p>
            <w:pPr>
              <w:pStyle w:val="Compact"/>
            </w:pPr>
            <w:r>
              <w:rPr>
                <w:rFonts w:hint="eastAsia"/>
              </w:rPr>
              <w:t xml:space="preserve">9回</w:t>
            </w:r>
          </w:p>
        </w:tc>
        <w:tc>
          <w:tcPr/>
          <w:p>
            <w:pPr>
              <w:pStyle w:val="Compact"/>
            </w:pPr>
            <w:r>
              <w:rPr>
                <w:rFonts w:hint="eastAsia"/>
              </w:rPr>
              <w:t xml:space="preserve">やや多い。一部を「テキストに」「文面上」に置換可能。</w:t>
            </w:r>
            <w:r>
              <w:rPr>
                <w:rFonts w:hint="eastAsia"/>
                <w:b/>
                <w:bCs/>
              </w:rPr>
              <w:t xml:space="preserve">軽微</w:t>
            </w:r>
          </w:p>
        </w:tc>
      </w:tr>
    </w:tbl>
    <w:p>
      <w:pPr>
        <w:pStyle w:val="BodyText"/>
      </w:pPr>
      <w:r>
        <w:t xml:space="preserve">→ </w:t>
      </w:r>
      <w:r>
        <w:rPr>
          <w:rFonts w:hint="eastAsia"/>
        </w:rPr>
        <w:t xml:space="preserve">1件軽微な修正候補。</w:t>
      </w:r>
    </w:p>
    <w:bookmarkEnd w:id="40"/>
    <w:bookmarkStart w:id="41" w:name="パターン7受動態の過剰使用"/>
    <w:p>
      <w:pPr>
        <w:pStyle w:val="Heading3"/>
      </w:pPr>
      <w:r>
        <w:rPr>
          <w:rFonts w:hint="eastAsia"/>
        </w:rPr>
        <w:t xml:space="preserve">パターン7：受動態の過剰使用</w:t>
      </w:r>
    </w:p>
    <w:p>
      <w:pPr>
        <w:pStyle w:val="FirstParagraph"/>
      </w:pPr>
      <w:r>
        <w:t xml:space="preserve">→ </w:t>
      </w:r>
      <w:r>
        <w:rPr>
          <w:rFonts w:hint="eastAsia"/>
        </w:rPr>
        <w:t xml:space="preserve">日本語は主語省略が自然であり、受動態の過剰使用は検出されず。</w:t>
      </w:r>
    </w:p>
    <w:p>
      <w:r>
        <w:pict>
          <v:rect style="width:0;height:1.5pt" o:hralign="center" o:hrstd="t" o:hr="t"/>
        </w:pict>
      </w:r>
    </w:p>
    <w:bookmarkEnd w:id="41"/>
    <w:bookmarkEnd w:id="42"/>
    <w:bookmarkStart w:id="43" w:name="スタイル監査の総合判定"/>
    <w:p>
      <w:pPr>
        <w:pStyle w:val="Heading2"/>
      </w:pPr>
      <w:r>
        <w:t xml:space="preserve">■ </w:t>
      </w:r>
      <w:r>
        <w:rPr>
          <w:rFonts w:hint="eastAsia"/>
        </w:rPr>
        <w:t xml:space="preserve">スタイル監査の総合判定</w:t>
      </w:r>
    </w:p>
    <w:p>
      <w:pPr>
        <w:pStyle w:val="FirstParagraph"/>
      </w:pPr>
      <w:r>
        <w:rPr>
          <w:rFonts w:hint="eastAsia"/>
          <w:b/>
          <w:bCs/>
        </w:rPr>
        <w:t xml:space="preserve">深刻なAI臭パターン：0件</w:t>
      </w:r>
      <w:r>
        <w:t xml:space="preserve"> </w:t>
      </w:r>
      <w:r>
        <w:rPr>
          <w:rFonts w:hint="eastAsia"/>
          <w:b/>
          <w:bCs/>
        </w:rPr>
        <w:t xml:space="preserve">軽微な修正候補：2件</w:t>
      </w:r>
      <w:r>
        <w:t xml:space="preserve"> </w:t>
      </w:r>
      <w:r>
        <w:t xml:space="preserve">1. </w:t>
      </w:r>
      <w:r>
        <w:rPr>
          <w:rFonts w:hint="eastAsia"/>
        </w:rPr>
        <w:t xml:space="preserve">緒言2末「臨床的に実質的な帰結を伴う」→「臨床上の実害を伴う」（より直截）</w:t>
      </w:r>
      <w:r>
        <w:t xml:space="preserve"> </w:t>
      </w:r>
      <w:r>
        <w:t xml:space="preserve">2. </w:t>
      </w:r>
      <w:r>
        <w:rPr>
          <w:rFonts w:hint="eastAsia"/>
        </w:rPr>
        <w:t xml:space="preserve">「テキスト上に」の反復9回→一部を「テキストに」に簡略化</w:t>
      </w:r>
    </w:p>
    <w:p>
      <w:pPr>
        <w:pStyle w:val="BodyText"/>
      </w:pPr>
      <w:r>
        <w:rPr>
          <w:rFonts w:hint="eastAsia"/>
          <w:b/>
          <w:bCs/>
        </w:rPr>
        <w:t xml:space="preserve">保留：0件</w:t>
      </w:r>
      <w:r>
        <w:rPr>
          <w:rFonts w:hint="eastAsia"/>
        </w:rPr>
        <w:t xml:space="preserve">（v2差替で旧・考察3の対句構造は解消済み）</w:t>
      </w:r>
    </w:p>
    <w:p>
      <w:pPr>
        <w:pStyle w:val="BodyText"/>
      </w:pPr>
      <w:r>
        <w:rPr>
          <w:rFonts w:hint="eastAsia"/>
          <w:b/>
          <w:bCs/>
        </w:rPr>
        <w:t xml:space="preserve">全体所見</w:t>
      </w:r>
      <w:r>
        <w:rPr>
          <w:rFonts w:hint="eastAsia"/>
        </w:rPr>
        <w:t xml:space="preserve">：AI臭は極めて低い水準。日本語の学術論文として自然な文体が維持されている。em</w:t>
      </w:r>
      <w:r>
        <w:t xml:space="preserve"> dash、「not X but </w:t>
      </w:r>
      <w:r>
        <w:rPr>
          <w:rFonts w:hint="eastAsia"/>
        </w:rPr>
        <w:t xml:space="preserve">Y」の過剰使用、メタコメンタリー、定型表現のいずれも制御範囲内。v2で追加した考察3（認識論的非対称性段落）も学術的文体の範囲内。duagnosis引用は受理まで保留。</w:t>
      </w:r>
    </w:p>
    <w:p>
      <w:r>
        <w:pict>
          <v:rect style="width:0;height:1.5pt" o:hralign="center" o:hrstd="t" o:hr="t"/>
        </w:pict>
      </w:r>
    </w:p>
    <w:bookmarkEnd w:id="43"/>
    <w:bookmarkStart w:id="44" w:name="残存マーク一覧"/>
    <w:p>
      <w:pPr>
        <w:pStyle w:val="Heading2"/>
      </w:pPr>
      <w:r>
        <w:t xml:space="preserve">■ </w:t>
      </w:r>
      <w:r>
        <w:rPr>
          <w:rFonts w:hint="eastAsia"/>
        </w:rPr>
        <w:t xml:space="preserve">残存★マーク一覧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箇所</w:t>
            </w:r>
          </w:p>
        </w:tc>
        <w:tc>
          <w:tcPr/>
          <w:p>
            <w:pPr>
              <w:pStyle w:val="Compact"/>
            </w:pPr>
            <w:r>
              <w:rPr>
                <w:rFonts w:hint="eastAsia"/>
              </w:rPr>
              <w:t xml:space="preserve">内容</w:t>
            </w:r>
          </w:p>
        </w:tc>
      </w:tr>
      <w:tr>
        <w:tc>
          <w:tcPr/>
          <w:p>
            <w:pPr>
              <w:pStyle w:val="Compact"/>
            </w:pPr>
            <w:r>
              <w:t xml:space="preserve">1</w:t>
            </w:r>
          </w:p>
        </w:tc>
        <w:tc>
          <w:tcPr/>
          <w:p>
            <w:pPr>
              <w:pStyle w:val="Compact"/>
            </w:pPr>
            <w:r>
              <w:rPr>
                <w:rFonts w:hint="eastAsia"/>
              </w:rPr>
              <w:t xml:space="preserve">文献3</w:t>
            </w:r>
          </w:p>
        </w:tc>
        <w:tc>
          <w:tcPr/>
          <w:p>
            <w:pPr>
              <w:pStyle w:val="Compact"/>
            </w:pPr>
            <w:r>
              <w:rPr>
                <w:strike/>
              </w:rPr>
              <w:t xml:space="preserve">Oka </w:t>
            </w:r>
            <w:r>
              <w:rPr>
                <w:rFonts w:hint="eastAsia"/>
                <w:strike/>
              </w:rPr>
              <w:t xml:space="preserve">2014確定済み</w:t>
            </w:r>
          </w:p>
        </w:tc>
      </w:tr>
      <w:tr>
        <w:tc>
          <w:tcPr/>
          <w:p>
            <w:pPr>
              <w:pStyle w:val="Compact"/>
            </w:pPr>
            <w:r>
              <w:t xml:space="preserve">2</w:t>
            </w:r>
          </w:p>
        </w:tc>
        <w:tc>
          <w:tcPr/>
          <w:p>
            <w:pPr>
              <w:pStyle w:val="Compact"/>
            </w:pPr>
            <w:r>
              <w:rPr>
                <w:rFonts w:hint="eastAsia"/>
              </w:rPr>
              <w:t xml:space="preserve">文献4</w:t>
            </w:r>
          </w:p>
        </w:tc>
        <w:tc>
          <w:tcPr/>
          <w:p>
            <w:pPr>
              <w:pStyle w:val="Compact"/>
            </w:pPr>
            <w:r>
              <w:rPr>
                <w:rFonts w:hint="eastAsia"/>
                <w:strike/>
              </w:rPr>
              <w:t xml:space="preserve">冨岡</w:t>
            </w:r>
            <w:r>
              <w:rPr>
                <w:strike/>
              </w:rPr>
              <w:t xml:space="preserve"> </w:t>
            </w:r>
            <w:r>
              <w:rPr>
                <w:rFonts w:hint="eastAsia"/>
                <w:strike/>
              </w:rPr>
              <w:t xml:space="preserve">1999確定済み</w:t>
            </w:r>
          </w:p>
        </w:tc>
      </w:tr>
      <w:tr>
        <w:tc>
          <w:tcPr/>
          <w:p>
            <w:pPr>
              <w:pStyle w:val="Compact"/>
            </w:pPr>
            <w:r>
              <w:t xml:space="preserve">3</w:t>
            </w:r>
          </w:p>
        </w:tc>
        <w:tc>
          <w:tcPr/>
          <w:p>
            <w:pPr>
              <w:pStyle w:val="Compact"/>
            </w:pPr>
            <w:r>
              <w:rPr>
                <w:rFonts w:hint="eastAsia"/>
              </w:rPr>
              <w:t xml:space="preserve">考察3</w:t>
            </w:r>
          </w:p>
        </w:tc>
        <w:tc>
          <w:tcPr/>
          <w:p>
            <w:pPr>
              <w:pStyle w:val="Compact"/>
            </w:pPr>
            <w:r>
              <w:rPr>
                <w:rFonts w:hint="eastAsia"/>
              </w:rPr>
              <w:t xml:space="preserve">Duagnosis論文受理後に[11]として復活・引用番号繰り下げ</w:t>
            </w:r>
          </w:p>
        </w:tc>
      </w:tr>
      <w:tr>
        <w:tc>
          <w:tcPr/>
          <w:p>
            <w:pPr>
              <w:pStyle w:val="Compact"/>
            </w:pPr>
            <w:r>
              <w:t xml:space="preserve">4</w:t>
            </w:r>
          </w:p>
        </w:tc>
        <w:tc>
          <w:tcPr/>
          <w:p>
            <w:pPr>
              <w:pStyle w:val="Compact"/>
            </w:pPr>
            <w:r>
              <w:rPr>
                <w:rFonts w:hint="eastAsia"/>
              </w:rPr>
              <w:t xml:space="preserve">方法2</w:t>
            </w:r>
          </w:p>
        </w:tc>
        <w:tc>
          <w:tcPr/>
          <w:p>
            <w:pPr>
              <w:pStyle w:val="Compact"/>
            </w:pPr>
            <w:r>
              <w:t xml:space="preserve">GitHub URL</w:t>
            </w:r>
          </w:p>
        </w:tc>
      </w:tr>
      <w:tr>
        <w:tc>
          <w:tcPr/>
          <w:p>
            <w:pPr>
              <w:pStyle w:val="Compact"/>
            </w:pPr>
            <w:r>
              <w:t xml:space="preserve">5</w:t>
            </w:r>
          </w:p>
        </w:tc>
        <w:tc>
          <w:tcPr/>
          <w:p>
            <w:pPr>
              <w:pStyle w:val="Compact"/>
            </w:pPr>
            <w:r>
              <w:rPr>
                <w:rFonts w:hint="eastAsia"/>
              </w:rPr>
              <w:t xml:space="preserve">方法8</w:t>
            </w:r>
          </w:p>
        </w:tc>
        <w:tc>
          <w:tcPr/>
          <w:p>
            <w:pPr>
              <w:pStyle w:val="Compact"/>
            </w:pPr>
            <w:r>
              <w:rPr>
                <w:rFonts w:hint="eastAsia"/>
              </w:rPr>
              <w:t xml:space="preserve">倫理審査の記載</w:t>
            </w:r>
          </w:p>
        </w:tc>
      </w:tr>
      <w:tr>
        <w:tc>
          <w:tcPr/>
          <w:p>
            <w:pPr>
              <w:pStyle w:val="Compact"/>
            </w:pPr>
            <w:r>
              <w:t xml:space="preserve">6</w:t>
            </w:r>
          </w:p>
        </w:tc>
        <w:tc>
          <w:tcPr/>
          <w:p>
            <w:pPr>
              <w:pStyle w:val="Compact"/>
            </w:pPr>
            <w:r>
              <w:rPr>
                <w:rFonts w:hint="eastAsia"/>
              </w:rPr>
              <w:t xml:space="preserve">方法3</w:t>
            </w:r>
          </w:p>
        </w:tc>
        <w:tc>
          <w:tcPr/>
          <w:p>
            <w:pPr>
              <w:pStyle w:val="Compact"/>
            </w:pPr>
            <w:r>
              <w:rPr>
                <w:rFonts w:hint="eastAsia"/>
                <w:strike/>
              </w:rPr>
              <w:t xml:space="preserve">ツムラ品目数128確認済み（FORMULAS=128,</w:t>
            </w:r>
            <w:r>
              <w:rPr>
                <w:strike/>
              </w:rPr>
              <w:t xml:space="preserve"> EXTRA=134, </w:t>
            </w:r>
            <w:r>
              <w:rPr>
                <w:rFonts w:hint="eastAsia"/>
                <w:strike/>
              </w:rPr>
              <w:t xml:space="preserve">合計262）</w:t>
            </w:r>
          </w:p>
        </w:tc>
      </w:tr>
      <w:tr>
        <w:tc>
          <w:tcPr/>
          <w:p>
            <w:pPr>
              <w:pStyle w:val="Compact"/>
            </w:pPr>
            <w:r>
              <w:t xml:space="preserve">7</w:t>
            </w:r>
          </w:p>
        </w:tc>
        <w:tc>
          <w:tcPr/>
          <w:p>
            <w:pPr>
              <w:pStyle w:val="Compact"/>
            </w:pPr>
            <w:r>
              <w:rPr>
                <w:rFonts w:hint="eastAsia"/>
              </w:rPr>
              <w:t xml:space="preserve">結果2.1</w:t>
            </w:r>
          </w:p>
        </w:tc>
        <w:tc>
          <w:tcPr/>
          <w:p>
            <w:pPr>
              <w:pStyle w:val="Compact"/>
            </w:pPr>
            <w:r>
              <w:rPr>
                <w:rFonts w:hint="eastAsia"/>
                <w:strike/>
              </w:rPr>
              <w:t xml:space="preserve">Q2・Q4の生数値（CSV算出済み：kampo</w:t>
            </w:r>
            <w:r>
              <w:rPr>
                <w:strike/>
              </w:rPr>
              <w:t xml:space="preserve"> Q2=159,Q4=402 / pubmed </w:t>
            </w:r>
            <w:r>
              <w:rPr>
                <w:rFonts w:hint="eastAsia"/>
                <w:strike/>
              </w:rPr>
              <w:t xml:space="preserve">Q2=328,Q4=2743）</w:t>
            </w:r>
          </w:p>
        </w:tc>
      </w:tr>
    </w:tbl>
    <w:bookmarkEnd w:id="44"/>
    <w:bookmarkStart w:id="45" w:name="字数概算"/>
    <w:p>
      <w:pPr>
        <w:pStyle w:val="Heading2"/>
      </w:pPr>
      <w:r>
        <w:t xml:space="preserve">■ </w:t>
      </w:r>
      <w:r>
        <w:rPr>
          <w:rFonts w:hint="eastAsia"/>
        </w:rPr>
        <w:t xml:space="preserve">字数概算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セクション</w:t>
            </w:r>
          </w:p>
        </w:tc>
        <w:tc>
          <w:tcPr/>
          <w:p>
            <w:pPr>
              <w:pStyle w:val="Compact"/>
            </w:pPr>
            <w:r>
              <w:rPr>
                <w:rFonts w:hint="eastAsia"/>
              </w:rPr>
              <w:t xml:space="preserve">字数</w:t>
            </w:r>
          </w:p>
        </w:tc>
      </w:tr>
      <w:tr>
        <w:tc>
          <w:tcPr/>
          <w:p>
            <w:pPr>
              <w:pStyle w:val="Compact"/>
            </w:pPr>
            <w:r>
              <w:rPr>
                <w:rFonts w:hint="eastAsia"/>
              </w:rPr>
              <w:t xml:space="preserve">緒言</w:t>
            </w:r>
          </w:p>
        </w:tc>
        <w:tc>
          <w:tcPr/>
          <w:p>
            <w:pPr>
              <w:pStyle w:val="Compact"/>
            </w:pPr>
            <w:r>
              <w:t xml:space="preserve">~3,000</w:t>
            </w:r>
          </w:p>
        </w:tc>
      </w:tr>
      <w:tr>
        <w:tc>
          <w:tcPr/>
          <w:p>
            <w:pPr>
              <w:pStyle w:val="Compact"/>
            </w:pPr>
            <w:r>
              <w:rPr>
                <w:rFonts w:hint="eastAsia"/>
              </w:rPr>
              <w:t xml:space="preserve">方法</w:t>
            </w:r>
          </w:p>
        </w:tc>
        <w:tc>
          <w:tcPr/>
          <w:p>
            <w:pPr>
              <w:pStyle w:val="Compact"/>
            </w:pPr>
            <w:r>
              <w:t xml:space="preserve">~4,800</w:t>
            </w:r>
          </w:p>
        </w:tc>
      </w:tr>
      <w:tr>
        <w:tc>
          <w:tcPr/>
          <w:p>
            <w:pPr>
              <w:pStyle w:val="Compact"/>
            </w:pPr>
            <w:r>
              <w:rPr>
                <w:rFonts w:hint="eastAsia"/>
              </w:rPr>
              <w:t xml:space="preserve">結果</w:t>
            </w:r>
          </w:p>
        </w:tc>
        <w:tc>
          <w:tcPr/>
          <w:p>
            <w:pPr>
              <w:pStyle w:val="Compact"/>
            </w:pPr>
            <w:r>
              <w:t xml:space="preserve">~3,950</w:t>
            </w:r>
          </w:p>
        </w:tc>
      </w:tr>
      <w:tr>
        <w:tc>
          <w:tcPr/>
          <w:p>
            <w:pPr>
              <w:pStyle w:val="Compact"/>
            </w:pPr>
            <w:r>
              <w:rPr>
                <w:rFonts w:hint="eastAsia"/>
              </w:rPr>
              <w:t xml:space="preserve">考察</w:t>
            </w:r>
          </w:p>
        </w:tc>
        <w:tc>
          <w:tcPr/>
          <w:p>
            <w:pPr>
              <w:pStyle w:val="Compact"/>
            </w:pPr>
            <w:r>
              <w:t xml:space="preserve">~3,900</w:t>
            </w:r>
          </w:p>
        </w:tc>
      </w:tr>
      <w:tr>
        <w:tc>
          <w:tcPr/>
          <w:p>
            <w:pPr>
              <w:pStyle w:val="Compact"/>
            </w:pPr>
            <w:r>
              <w:rPr>
                <w:rFonts w:hint="eastAsia"/>
              </w:rPr>
              <w:t xml:space="preserve">結語</w:t>
            </w:r>
          </w:p>
        </w:tc>
        <w:tc>
          <w:tcPr/>
          <w:p>
            <w:pPr>
              <w:pStyle w:val="Compact"/>
            </w:pPr>
            <w:r>
              <w:t xml:space="preserve">~430</w:t>
            </w:r>
          </w:p>
        </w:tc>
      </w:tr>
      <w:tr>
        <w:tc>
          <w:tcPr/>
          <w:p>
            <w:pPr>
              <w:pStyle w:val="Compact"/>
            </w:pPr>
            <w:r>
              <w:rPr>
                <w:rFonts w:hint="eastAsia"/>
                <w:b/>
                <w:bCs/>
              </w:rPr>
              <w:t xml:space="preserve">合計</w:t>
            </w:r>
          </w:p>
        </w:tc>
        <w:tc>
          <w:tcPr/>
          <w:p>
            <w:pPr>
              <w:pStyle w:val="Compact"/>
            </w:pPr>
            <w:r>
              <w:rPr>
                <w:rFonts w:hint="eastAsia"/>
                <w:b/>
                <w:bCs/>
              </w:rPr>
              <w:t xml:space="preserve">~16,080字</w:t>
            </w:r>
          </w:p>
        </w:tc>
      </w:tr>
    </w:tbl>
    <w:p>
      <w:pPr>
        <w:pStyle w:val="BodyText"/>
      </w:pPr>
      <w:r>
        <w:rPr>
          <w:rFonts w:hint="eastAsia"/>
        </w:rPr>
        <w:t xml:space="preserve">目標15,000–18,000字の範囲内。v2変更による増分：考察3差替+200字、考察4・5追加+200字、結語+50字。</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2026-03-30T13:49:14Z</dcterms:created>
  <dcterms:modified xsi:type="dcterms:W3CDTF">2026-03-30T13:49:14Z</dcterms:modified>
</cp:coreProperties>
</file>

<file path=docProps/custom.xml><?xml version="1.0" encoding="utf-8"?>
<Properties xmlns="http://schemas.openxmlformats.org/officeDocument/2006/custom-properties" xmlns:vt="http://schemas.openxmlformats.org/officeDocument/2006/docPropsVTypes"/>
</file>