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</w:rPr>
        <w:t>传输媒介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bookmarkStart w:id="0" w:name="_GoBack" w:colFirst="3" w:colLast="3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bookmarkEnd w:id="0"/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F6CFC35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答：（1）双绞线：电气；（2）同轴电缆：电气；（3）光纤：光；（4）卫星：无线电波。</w:t>
      </w:r>
    </w:p>
    <w:p w14:paraId="6C647A88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题</w:t>
      </w:r>
    </w:p>
    <w:p w14:paraId="00698EE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答：（1）成本：材料、安装、运营、维护；（2）数据速率：bps；（3）时延：信号传输的时间；（4）对信号的影响：衰减和失真；（5）环境：对干扰和电气噪音的敏感性；（6）安全：对窃听的敏感性。</w:t>
      </w:r>
    </w:p>
    <w:p w14:paraId="1D8141B0">
      <w:pPr>
        <w:pStyle w:val="5"/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铜导线总体费用低，不需要专门人员与设备，不易折断，适合企业内部使用；而光纤免受电气噪声干扰，信号损耗小，高宽带，适合校区和校区之间长距离传输，并且保密性好。</w:t>
      </w: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 w:ascii="宋体" w:hAnsi="宋体" w:eastAsia="宋体" w:cs="宋体"/>
          <w:sz w:val="24"/>
          <w:szCs w:val="24"/>
        </w:rPr>
        <w:t>https://gitee.com/koshistar/computer-network/tree/master/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作业1_传输介质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0"/>
  <w:bordersDoNotSurroundFooter w:val="0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7577EA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24FF7DEA"/>
    <w:rsid w:val="358C0323"/>
    <w:rsid w:val="3875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0316;&#19994;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作业1.dotx</Template>
  <Pages>2</Pages>
  <Words>334</Words>
  <Characters>388</Characters>
  <Lines>2</Lines>
  <Paragraphs>1</Paragraphs>
  <TotalTime>532</TotalTime>
  <ScaleCrop>false</ScaleCrop>
  <LinksUpToDate>false</LinksUpToDate>
  <CharactersWithSpaces>405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2025-09-07T04:34:00Z</dcterms:created>
  <dc:creator>WPS_1601472217</dc:creator>
  <cp:lastModifiedBy>WPS_1601472217</cp:lastModifiedBy>
  <dcterms:modified xsi:type="dcterms:W3CDTF">2025-09-07T13:30:03Z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BC340FBD1C0B414DBF9C7AB254EF764B_11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