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7AB9A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360" w:line="240" w:lineRule="auto"/>
        <w:ind w:left="0" w:right="0" w:firstLine="0"/>
        <w:jc w:val="center"/>
        <w:textAlignment w:val="auto"/>
        <w:outlineLvl w:val="0"/>
        <w:rPr>
          <w:rFonts w:hint="eastAsia" w:eastAsia="黑体"/>
          <w:lang w:val="en-US" w:eastAsia="zh-CN"/>
        </w:rPr>
      </w:pPr>
      <w:r>
        <w:rPr>
          <w:rFonts w:hint="eastAsia" w:cs="Times New Roman"/>
          <w:b/>
          <w:bCs/>
          <w:color w:val="000000"/>
          <w:sz w:val="32"/>
          <w:szCs w:val="32"/>
          <w:lang w:val="en-US" w:eastAsia="zh-CN"/>
        </w:rPr>
        <w:t>总结文档</w:t>
      </w:r>
    </w:p>
    <w:p w14:paraId="018C7D5E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240" w:lineRule="auto"/>
        <w:ind w:left="0" w:right="0" w:firstLine="0"/>
        <w:jc w:val="left"/>
        <w:textAlignment w:val="auto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零、项目概述</w:t>
      </w:r>
    </w:p>
    <w:p w14:paraId="7FEB9DE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本项目"屏幕配音桌宠"是一款基于 Python + PyQt5 开发的 Windows 桌面应用，旨在实现屏幕区域文字的实时 OCR 识别与多引擎 TTS 语音合成。系统融合了 Tesseract OCR 引擎、Qwen3-TTS / VITS-simple-api / EmotionTTS Cloud 三套 TTS 后端、DeepSeek 大模型 AI 对话，以及角色立绘展示系统，面向电子书阅读、视觉小说游戏配音、无障碍辅助阅读等场景。</w:t>
      </w:r>
    </w:p>
    <w:p w14:paraId="20B0C96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项目共计 18 个 Python 源文件，约 3500 行代码，支持 3 个 TTS 引擎、12+ Qwen3 音色、5 个设置标签页。</w:t>
      </w:r>
    </w:p>
    <w:p w14:paraId="6CF3DD1E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240" w:lineRule="auto"/>
        <w:ind w:left="0" w:right="0" w:firstLine="0"/>
        <w:jc w:val="left"/>
        <w:textAlignment w:val="auto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一、项目过程</w:t>
      </w:r>
    </w:p>
    <w:p w14:paraId="496A1ADD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40" w:lineRule="auto"/>
        <w:ind w:left="0" w:right="0" w:firstLine="0"/>
        <w:jc w:val="left"/>
        <w:textAlignment w:val="auto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 规划阶段</w:t>
      </w:r>
    </w:p>
    <w:p w14:paraId="76DEC4C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项目启动 (2026-05)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2ED54E0D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项目定位：便携、本地优先、低延迟的屏幕文本实时配音工具</w:t>
      </w:r>
    </w:p>
    <w:p w14:paraId="0536F743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调研对标系统：ZcChat2 (C++ AI 桌宠)、EmotionTTS v4.5、RealtimeTTS</w:t>
      </w:r>
    </w:p>
    <w:p w14:paraId="431F29D0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确定技术选型：Python + PyQt5（GUI）、mss + pytesseract（OCR）、DashScope / VITS / EmotionTTS（TTS）、DeepSeek（AI）</w:t>
      </w:r>
    </w:p>
    <w:p w14:paraId="45101F4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需求分析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7"/>
        <w:gridCol w:w="7989"/>
      </w:tblGrid>
      <w:tr w14:paraId="34F6EF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77" w:type="dxa"/>
            <w:tcBorders>
              <w:bottom w:val="single" w:color="000000" w:sz="6" w:space="0"/>
            </w:tcBorders>
            <w:vAlign w:val="center"/>
          </w:tcPr>
          <w:p w14:paraId="02FDD7A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管理领域</w:t>
            </w:r>
          </w:p>
        </w:tc>
        <w:tc>
          <w:tcPr>
            <w:tcW w:w="7527" w:type="dxa"/>
            <w:tcBorders>
              <w:bottom w:val="single" w:color="000000" w:sz="6" w:space="0"/>
            </w:tcBorders>
            <w:vAlign w:val="center"/>
          </w:tcPr>
          <w:p w14:paraId="4EFE87C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关键决策</w:t>
            </w:r>
          </w:p>
        </w:tc>
      </w:tr>
      <w:tr w14:paraId="50D692D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7" w:type="dxa"/>
            <w:vAlign w:val="center"/>
          </w:tcPr>
          <w:p w14:paraId="4FF1428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范围管理</w:t>
            </w:r>
          </w:p>
        </w:tc>
        <w:tc>
          <w:tcPr>
            <w:tcW w:w="7527" w:type="dxa"/>
            <w:vAlign w:val="center"/>
          </w:tcPr>
          <w:p w14:paraId="25D8400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六大功能模块：OCR、TTS、AI 陪伴、角色管理、立绘展示、设置配置</w:t>
            </w:r>
          </w:p>
        </w:tc>
      </w:tr>
      <w:tr w14:paraId="4FBC2E9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7" w:type="dxa"/>
            <w:vAlign w:val="center"/>
          </w:tcPr>
          <w:p w14:paraId="4C96278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进度管理</w:t>
            </w:r>
          </w:p>
        </w:tc>
        <w:tc>
          <w:tcPr>
            <w:tcW w:w="7527" w:type="dxa"/>
            <w:vAlign w:val="center"/>
          </w:tcPr>
          <w:p w14:paraId="2EDC4C6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分 6 个 Phase 迭代开发：基础框架 → TTS → OCR → 角色系统 → AI → 流式优化</w:t>
            </w:r>
          </w:p>
        </w:tc>
      </w:tr>
      <w:tr w14:paraId="1F84F54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7" w:type="dxa"/>
            <w:vAlign w:val="center"/>
          </w:tcPr>
          <w:p w14:paraId="6D4A337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成本管理</w:t>
            </w:r>
          </w:p>
        </w:tc>
        <w:tc>
          <w:tcPr>
            <w:tcW w:w="7527" w:type="dxa"/>
            <w:vAlign w:val="center"/>
          </w:tcPr>
          <w:p w14:paraId="22601BB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主要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使用开源/免费 API（DashScope 免费额度、DeepSeek 低价 API、VITS 本地部署）</w:t>
            </w:r>
            <w:r>
              <w:rPr>
                <w:rFonts w:hint="eastAsia" w:cs="Times New Roman"/>
                <w:color w:val="000000"/>
                <w:sz w:val="21"/>
                <w:szCs w:val="21"/>
                <w:lang w:eastAsia="zh-CN"/>
              </w:rPr>
              <w:t>，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主要消耗在模型的额度充值上</w:t>
            </w:r>
          </w:p>
        </w:tc>
      </w:tr>
      <w:tr w14:paraId="2807B8E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7" w:type="dxa"/>
            <w:vAlign w:val="center"/>
          </w:tcPr>
          <w:p w14:paraId="0116E35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质量管理</w:t>
            </w:r>
          </w:p>
        </w:tc>
        <w:tc>
          <w:tcPr>
            <w:tcW w:w="7527" w:type="dxa"/>
            <w:vAlign w:val="center"/>
          </w:tcPr>
          <w:p w14:paraId="0DA4D7C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日志驱动调试（loguru）、PyAudio 设备自动恢复、API Key 环境变量隔离</w:t>
            </w:r>
          </w:p>
        </w:tc>
      </w:tr>
      <w:tr w14:paraId="118CBA6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7" w:type="dxa"/>
            <w:vAlign w:val="center"/>
          </w:tcPr>
          <w:p w14:paraId="643C567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资源管理</w:t>
            </w:r>
          </w:p>
        </w:tc>
        <w:tc>
          <w:tcPr>
            <w:tcW w:w="7527" w:type="dxa"/>
            <w:vAlign w:val="center"/>
          </w:tcPr>
          <w:p w14:paraId="6494A04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Git 版本控制，单开发者全栈</w:t>
            </w:r>
          </w:p>
        </w:tc>
      </w:tr>
      <w:tr w14:paraId="2391037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7" w:type="dxa"/>
            <w:vAlign w:val="center"/>
          </w:tcPr>
          <w:p w14:paraId="15C6E9C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沟通管理</w:t>
            </w:r>
          </w:p>
        </w:tc>
        <w:tc>
          <w:tcPr>
            <w:tcW w:w="7527" w:type="dxa"/>
            <w:vAlign w:val="center"/>
          </w:tcPr>
          <w:p w14:paraId="28120B6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Codex AI 辅助开发，实时调试反馈</w:t>
            </w:r>
          </w:p>
        </w:tc>
      </w:tr>
      <w:tr w14:paraId="623385E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7" w:type="dxa"/>
            <w:vAlign w:val="center"/>
          </w:tcPr>
          <w:p w14:paraId="08CEAEE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风险管理</w:t>
            </w:r>
          </w:p>
        </w:tc>
        <w:tc>
          <w:tcPr>
            <w:tcW w:w="7527" w:type="dxa"/>
            <w:vAlign w:val="center"/>
          </w:tcPr>
          <w:p w14:paraId="75A1915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核心风险：API 不可用 → 多引擎冗余；OCR 精度不足 → LLM 润色降级</w:t>
            </w:r>
          </w:p>
        </w:tc>
      </w:tr>
      <w:tr w14:paraId="65691ED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7" w:type="dxa"/>
            <w:vAlign w:val="center"/>
          </w:tcPr>
          <w:p w14:paraId="77AB4F6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采购管理</w:t>
            </w:r>
          </w:p>
        </w:tc>
        <w:tc>
          <w:tcPr>
            <w:tcW w:w="7527" w:type="dxa"/>
            <w:vAlign w:val="center"/>
          </w:tcPr>
          <w:p w14:paraId="364BADB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无硬件采购，仅 API 服务订阅</w:t>
            </w:r>
          </w:p>
        </w:tc>
      </w:tr>
      <w:tr w14:paraId="57C234A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7" w:type="dxa"/>
            <w:vAlign w:val="center"/>
          </w:tcPr>
          <w:p w14:paraId="7215BC3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干系人管理</w:t>
            </w:r>
          </w:p>
        </w:tc>
        <w:tc>
          <w:tcPr>
            <w:tcW w:w="7527" w:type="dxa"/>
            <w:vAlign w:val="center"/>
          </w:tcPr>
          <w:p w14:paraId="162C65C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个人项目，面向期末考核</w:t>
            </w:r>
          </w:p>
        </w:tc>
      </w:tr>
    </w:tbl>
    <w:p w14:paraId="36B10C6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WBS 分解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7A92190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  <w:rPr>
          <w:rFonts w:hint="eastAsia" w:ascii="Times New Roman" w:hAnsi="Times New Roman" w:eastAsia="宋体" w:cs="Times New Roman"/>
          <w:color w:val="000000"/>
          <w:sz w:val="24"/>
          <w:szCs w:val="24"/>
          <w:lang w:eastAsia="zh-CN"/>
        </w:rPr>
      </w:pPr>
    </w:p>
    <w:p w14:paraId="6CE2FF3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  <w:rPr>
          <w:rFonts w:hint="eastAsia"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eastAsia="zh-CN"/>
        </w:rPr>
        <w:drawing>
          <wp:inline distT="0" distB="0" distL="114300" distR="114300">
            <wp:extent cx="5726430" cy="2803525"/>
            <wp:effectExtent l="0" t="0" r="0" b="0"/>
            <wp:docPr id="1" name="图片 1" descr="Gemini_Generated_Image_ydww8xydww8xyd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emini_Generated_Image_ydww8xydww8xydww"/>
                    <pic:cNvPicPr>
                      <a:picLocks noChangeAspect="1"/>
                    </pic:cNvPicPr>
                  </pic:nvPicPr>
                  <pic:blipFill>
                    <a:blip r:embed="rId6"/>
                    <a:srcRect t="1024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1C73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40" w:lineRule="auto"/>
        <w:ind w:left="0" w:right="0" w:firstLine="0"/>
        <w:jc w:val="left"/>
        <w:textAlignment w:val="auto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 组织和实施阶段</w:t>
      </w:r>
    </w:p>
    <w:p w14:paraId="64B3399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技术实施难点及解决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2192"/>
        <w:gridCol w:w="3611"/>
        <w:gridCol w:w="1805"/>
      </w:tblGrid>
      <w:tr w14:paraId="16E4FCE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36" w:type="dxa"/>
            <w:tcBorders>
              <w:bottom w:val="single" w:color="000000" w:sz="6" w:space="0"/>
            </w:tcBorders>
            <w:vAlign w:val="center"/>
          </w:tcPr>
          <w:p w14:paraId="3254C93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难点</w:t>
            </w:r>
          </w:p>
        </w:tc>
        <w:tc>
          <w:tcPr>
            <w:tcW w:w="2065" w:type="dxa"/>
            <w:tcBorders>
              <w:bottom w:val="single" w:color="000000" w:sz="6" w:space="0"/>
            </w:tcBorders>
            <w:vAlign w:val="center"/>
          </w:tcPr>
          <w:p w14:paraId="094122C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问题描述</w:t>
            </w:r>
          </w:p>
        </w:tc>
        <w:tc>
          <w:tcPr>
            <w:tcW w:w="3402" w:type="dxa"/>
            <w:tcBorders>
              <w:bottom w:val="single" w:color="000000" w:sz="6" w:space="0"/>
            </w:tcBorders>
            <w:vAlign w:val="center"/>
          </w:tcPr>
          <w:p w14:paraId="3BAEA85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解决方案</w:t>
            </w:r>
          </w:p>
        </w:tc>
        <w:tc>
          <w:tcPr>
            <w:tcW w:w="1701" w:type="dxa"/>
            <w:tcBorders>
              <w:bottom w:val="single" w:color="000000" w:sz="6" w:space="0"/>
            </w:tcBorders>
            <w:vAlign w:val="center"/>
          </w:tcPr>
          <w:p w14:paraId="474CE05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成果</w:t>
            </w:r>
          </w:p>
        </w:tc>
      </w:tr>
      <w:tr w14:paraId="7C0D95F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6" w:type="dxa"/>
            <w:vAlign w:val="center"/>
          </w:tcPr>
          <w:p w14:paraId="72CCFF4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Tesseract 中文识别</w:t>
            </w:r>
          </w:p>
        </w:tc>
        <w:tc>
          <w:tcPr>
            <w:tcW w:w="2065" w:type="dxa"/>
            <w:vAlign w:val="center"/>
          </w:tcPr>
          <w:p w14:paraId="543CFA5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tessdata 路径配置错误</w:t>
            </w:r>
          </w:p>
        </w:tc>
        <w:tc>
          <w:tcPr>
            <w:tcW w:w="3402" w:type="dxa"/>
            <w:vAlign w:val="center"/>
          </w:tcPr>
          <w:p w14:paraId="4EC872C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设置 TESSDATA_PREFIX 环境变量 + 下载 chi_sim.traineddata</w:t>
            </w:r>
          </w:p>
        </w:tc>
        <w:tc>
          <w:tcPr>
            <w:tcW w:w="1701" w:type="dxa"/>
            <w:vAlign w:val="center"/>
          </w:tcPr>
          <w:p w14:paraId="4083B53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中英混合识别正常</w:t>
            </w:r>
          </w:p>
        </w:tc>
      </w:tr>
      <w:tr w14:paraId="5B9A80E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6" w:type="dxa"/>
            <w:vAlign w:val="center"/>
          </w:tcPr>
          <w:p w14:paraId="128A932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EmotionTTS API 格式</w:t>
            </w:r>
          </w:p>
        </w:tc>
        <w:tc>
          <w:tcPr>
            <w:tcW w:w="2065" w:type="dxa"/>
            <w:vAlign w:val="center"/>
          </w:tcPr>
          <w:p w14:paraId="0A6C6D5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Reference audio 编码方式不匹配</w:t>
            </w:r>
          </w:p>
        </w:tc>
        <w:tc>
          <w:tcPr>
            <w:tcW w:w="3402" w:type="dxa"/>
            <w:vAlign w:val="center"/>
          </w:tcPr>
          <w:p w14:paraId="1C9F539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参考 EmotionTTS v4.5 源码，改为直接传角色名</w:t>
            </w:r>
          </w:p>
        </w:tc>
        <w:tc>
          <w:tcPr>
            <w:tcW w:w="1701" w:type="dxa"/>
            <w:vAlign w:val="center"/>
          </w:tcPr>
          <w:p w14:paraId="302507C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云端情绪 TTS 可用</w:t>
            </w:r>
          </w:p>
        </w:tc>
      </w:tr>
      <w:tr w14:paraId="342C852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336" w:type="dxa"/>
            <w:vAlign w:val="center"/>
          </w:tcPr>
          <w:p w14:paraId="75B5013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GPT-SOVITS prompt_text</w:t>
            </w:r>
          </w:p>
        </w:tc>
        <w:tc>
          <w:tcPr>
            <w:tcW w:w="2065" w:type="dxa"/>
            <w:vAlign w:val="center"/>
          </w:tcPr>
          <w:p w14:paraId="4905036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参数未正确传递导致音色不对</w:t>
            </w:r>
          </w:p>
        </w:tc>
        <w:tc>
          <w:tcPr>
            <w:tcW w:w="3402" w:type="dxa"/>
            <w:vAlign w:val="center"/>
          </w:tcPr>
          <w:p w14:paraId="59EB9CC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检查 VITSEngine 参数传递链，修复 preset/prompt_text 透传</w:t>
            </w:r>
          </w:p>
        </w:tc>
        <w:tc>
          <w:tcPr>
            <w:tcW w:w="1701" w:type="dxa"/>
            <w:vAlign w:val="center"/>
          </w:tcPr>
          <w:p w14:paraId="46F7AC0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GPT-SOVITS 音色与 WebUI 一致</w:t>
            </w:r>
          </w:p>
        </w:tc>
      </w:tr>
      <w:tr w14:paraId="55A0006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6" w:type="dxa"/>
            <w:vAlign w:val="center"/>
          </w:tcPr>
          <w:p w14:paraId="1705EA5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QTextCursor 跨线程</w:t>
            </w:r>
          </w:p>
        </w:tc>
        <w:tc>
          <w:tcPr>
            <w:tcW w:w="2065" w:type="dxa"/>
            <w:vAlign w:val="center"/>
          </w:tcPr>
          <w:p w14:paraId="03BB9BC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AI 回复在后台线程操作 UI</w:t>
            </w:r>
          </w:p>
        </w:tc>
        <w:tc>
          <w:tcPr>
            <w:tcW w:w="3402" w:type="dxa"/>
            <w:vAlign w:val="center"/>
          </w:tcPr>
          <w:p w14:paraId="7E4F114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增加 chat_append 信号，所有 UI 修改通过信号投递</w:t>
            </w:r>
          </w:p>
        </w:tc>
        <w:tc>
          <w:tcPr>
            <w:tcW w:w="1701" w:type="dxa"/>
            <w:vAlign w:val="center"/>
          </w:tcPr>
          <w:p w14:paraId="1F63EC1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消除跨线程警告</w:t>
            </w:r>
          </w:p>
        </w:tc>
      </w:tr>
      <w:tr w14:paraId="7C27DF1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6" w:type="dxa"/>
            <w:vAlign w:val="center"/>
          </w:tcPr>
          <w:p w14:paraId="27F2788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音频设备不可用</w:t>
            </w:r>
          </w:p>
        </w:tc>
        <w:tc>
          <w:tcPr>
            <w:tcW w:w="2065" w:type="dxa"/>
            <w:vAlign w:val="center"/>
          </w:tcPr>
          <w:p w14:paraId="155BA2D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PyAudio 设备冲突</w:t>
            </w:r>
          </w:p>
        </w:tc>
        <w:tc>
          <w:tcPr>
            <w:tcW w:w="3402" w:type="dxa"/>
            <w:vAlign w:val="center"/>
          </w:tcPr>
          <w:p w14:paraId="5E3F878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增加自动重试机制，terminate + 重新初始化</w:t>
            </w:r>
          </w:p>
        </w:tc>
        <w:tc>
          <w:tcPr>
            <w:tcW w:w="1701" w:type="dxa"/>
            <w:vAlign w:val="center"/>
          </w:tcPr>
          <w:p w14:paraId="5A538A5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音频播放恢复能力提升</w:t>
            </w:r>
          </w:p>
        </w:tc>
      </w:tr>
      <w:tr w14:paraId="3E51F39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6" w:type="dxa"/>
            <w:vAlign w:val="center"/>
          </w:tcPr>
          <w:p w14:paraId="570F390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VITS speaker ID 为 0</w:t>
            </w:r>
          </w:p>
        </w:tc>
        <w:tc>
          <w:tcPr>
            <w:tcW w:w="2065" w:type="dxa"/>
            <w:vAlign w:val="center"/>
          </w:tcPr>
          <w:p w14:paraId="76AB9C0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未正确解析 GPT-SOVITS speaker 格式</w:t>
            </w:r>
          </w:p>
        </w:tc>
        <w:tc>
          <w:tcPr>
            <w:tcW w:w="3402" w:type="dxa"/>
            <w:vAlign w:val="center"/>
          </w:tcPr>
          <w:p w14:paraId="3B4C206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正则匹配 "MODEL - ID - Name" 格式提取 ID</w:t>
            </w:r>
          </w:p>
        </w:tc>
        <w:tc>
          <w:tcPr>
            <w:tcW w:w="1701" w:type="dxa"/>
            <w:vAlign w:val="center"/>
          </w:tcPr>
          <w:p w14:paraId="1706379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Speaker 正确选择</w:t>
            </w:r>
          </w:p>
        </w:tc>
      </w:tr>
      <w:tr w14:paraId="1901F38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6" w:type="dxa"/>
            <w:vAlign w:val="center"/>
          </w:tcPr>
          <w:p w14:paraId="75246BE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设置界面变量错误</w:t>
            </w:r>
          </w:p>
        </w:tc>
        <w:tc>
          <w:tcPr>
            <w:tcW w:w="2065" w:type="dxa"/>
            <w:vAlign w:val="center"/>
          </w:tcPr>
          <w:p w14:paraId="5B1A1A4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tts_vits / vits_cfg 等变量名不一致</w:t>
            </w:r>
          </w:p>
        </w:tc>
        <w:tc>
          <w:tcPr>
            <w:tcW w:w="3402" w:type="dxa"/>
            <w:vAlign w:val="center"/>
          </w:tcPr>
          <w:p w14:paraId="78BC958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统一使用 f2 / vc 作为 VITS 相关变量名</w:t>
            </w:r>
          </w:p>
        </w:tc>
        <w:tc>
          <w:tcPr>
            <w:tcW w:w="1701" w:type="dxa"/>
            <w:vAlign w:val="center"/>
          </w:tcPr>
          <w:p w14:paraId="695C485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设置界面正常保存加载</w:t>
            </w:r>
          </w:p>
        </w:tc>
      </w:tr>
    </w:tbl>
    <w:p w14:paraId="3403F8C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迭代开发记录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"/>
        <w:gridCol w:w="950"/>
        <w:gridCol w:w="7126"/>
      </w:tblGrid>
      <w:tr w14:paraId="4B48EC7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95" w:type="dxa"/>
            <w:tcBorders>
              <w:bottom w:val="single" w:color="000000" w:sz="6" w:space="0"/>
            </w:tcBorders>
            <w:vAlign w:val="center"/>
          </w:tcPr>
          <w:p w14:paraId="0350AE2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版本</w:t>
            </w:r>
          </w:p>
        </w:tc>
        <w:tc>
          <w:tcPr>
            <w:tcW w:w="895" w:type="dxa"/>
            <w:tcBorders>
              <w:bottom w:val="single" w:color="000000" w:sz="6" w:space="0"/>
            </w:tcBorders>
            <w:vAlign w:val="center"/>
          </w:tcPr>
          <w:p w14:paraId="77EA1F2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日期</w:t>
            </w:r>
          </w:p>
        </w:tc>
        <w:tc>
          <w:tcPr>
            <w:tcW w:w="6714" w:type="dxa"/>
            <w:tcBorders>
              <w:bottom w:val="single" w:color="000000" w:sz="6" w:space="0"/>
            </w:tcBorders>
            <w:vAlign w:val="center"/>
          </w:tcPr>
          <w:p w14:paraId="3F28F08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主要更新</w:t>
            </w:r>
          </w:p>
        </w:tc>
      </w:tr>
      <w:tr w14:paraId="17AD369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95" w:type="dxa"/>
            <w:vAlign w:val="center"/>
          </w:tcPr>
          <w:p w14:paraId="61474C3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v1.0</w:t>
            </w:r>
          </w:p>
        </w:tc>
        <w:tc>
          <w:tcPr>
            <w:tcW w:w="895" w:type="dxa"/>
            <w:vAlign w:val="center"/>
          </w:tcPr>
          <w:p w14:paraId="0D18A0A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0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-28</w:t>
            </w:r>
          </w:p>
        </w:tc>
        <w:tc>
          <w:tcPr>
            <w:tcW w:w="6714" w:type="dxa"/>
            <w:vAlign w:val="center"/>
          </w:tcPr>
          <w:p w14:paraId="6D343B3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基础框架：PyQt5 + config_manager + audio_manager</w:t>
            </w:r>
          </w:p>
        </w:tc>
      </w:tr>
      <w:tr w14:paraId="2716C5F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95" w:type="dxa"/>
            <w:vAlign w:val="center"/>
          </w:tcPr>
          <w:p w14:paraId="52657D9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v2.0</w:t>
            </w:r>
          </w:p>
        </w:tc>
        <w:tc>
          <w:tcPr>
            <w:tcW w:w="895" w:type="dxa"/>
            <w:vAlign w:val="center"/>
          </w:tcPr>
          <w:p w14:paraId="19D4021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05-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14</w:t>
            </w:r>
          </w:p>
        </w:tc>
        <w:tc>
          <w:tcPr>
            <w:tcW w:w="6714" w:type="dxa"/>
            <w:vAlign w:val="center"/>
          </w:tcPr>
          <w:p w14:paraId="372F613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Qwen3-TTS 集成 + RegionSelector</w:t>
            </w:r>
          </w:p>
        </w:tc>
      </w:tr>
      <w:tr w14:paraId="4548953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95" w:type="dxa"/>
            <w:vAlign w:val="center"/>
          </w:tcPr>
          <w:p w14:paraId="3CCCB46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v3.0</w:t>
            </w:r>
          </w:p>
        </w:tc>
        <w:tc>
          <w:tcPr>
            <w:tcW w:w="895" w:type="dxa"/>
            <w:vAlign w:val="center"/>
          </w:tcPr>
          <w:p w14:paraId="68EF0B9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0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5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25</w:t>
            </w:r>
          </w:p>
        </w:tc>
        <w:tc>
          <w:tcPr>
            <w:tcW w:w="6714" w:type="dxa"/>
            <w:vAlign w:val="center"/>
          </w:tcPr>
          <w:p w14:paraId="1E8E555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VITS + EmotionTTS 引擎 + CharacterManager</w:t>
            </w:r>
          </w:p>
        </w:tc>
      </w:tr>
      <w:tr w14:paraId="5F256CA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95" w:type="dxa"/>
            <w:vAlign w:val="center"/>
          </w:tcPr>
          <w:p w14:paraId="0C1FE78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v4.0</w:t>
            </w:r>
          </w:p>
        </w:tc>
        <w:tc>
          <w:tcPr>
            <w:tcW w:w="895" w:type="dxa"/>
            <w:vAlign w:val="center"/>
          </w:tcPr>
          <w:p w14:paraId="2D48ADD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06-0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6714" w:type="dxa"/>
            <w:vAlign w:val="center"/>
          </w:tcPr>
          <w:p w14:paraId="20B253E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TachieWindow 立绘 + 情绪差分系统</w:t>
            </w:r>
          </w:p>
        </w:tc>
      </w:tr>
      <w:tr w14:paraId="128FBBB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95" w:type="dxa"/>
            <w:vAlign w:val="center"/>
          </w:tcPr>
          <w:p w14:paraId="0C6818A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v5.0</w:t>
            </w:r>
          </w:p>
        </w:tc>
        <w:tc>
          <w:tcPr>
            <w:tcW w:w="895" w:type="dxa"/>
            <w:vAlign w:val="center"/>
          </w:tcPr>
          <w:p w14:paraId="6411D16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06-03</w:t>
            </w:r>
          </w:p>
        </w:tc>
        <w:tc>
          <w:tcPr>
            <w:tcW w:w="6714" w:type="dxa"/>
            <w:vAlign w:val="center"/>
          </w:tcPr>
          <w:p w14:paraId="142CB3F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AI 陪伴对话 + OCRMonitor + SettingWindow</w:t>
            </w:r>
          </w:p>
        </w:tc>
      </w:tr>
      <w:tr w14:paraId="21EC79B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95" w:type="dxa"/>
            <w:vAlign w:val="center"/>
          </w:tcPr>
          <w:p w14:paraId="5CB96FD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v6.0</w:t>
            </w:r>
          </w:p>
        </w:tc>
        <w:tc>
          <w:tcPr>
            <w:tcW w:w="895" w:type="dxa"/>
            <w:vAlign w:val="center"/>
          </w:tcPr>
          <w:p w14:paraId="359683F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06-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05</w:t>
            </w:r>
          </w:p>
        </w:tc>
        <w:tc>
          <w:tcPr>
            <w:tcW w:w="6714" w:type="dxa"/>
            <w:vAlign w:val="center"/>
          </w:tcPr>
          <w:p w14:paraId="1573C61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StreamingTTS 流式播放 + 句子级分句 + VITS 质量参数</w:t>
            </w:r>
          </w:p>
        </w:tc>
      </w:tr>
    </w:tbl>
    <w:p w14:paraId="17374809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40" w:lineRule="auto"/>
        <w:ind w:left="0" w:right="0" w:firstLine="0"/>
        <w:jc w:val="left"/>
        <w:textAlignment w:val="auto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3. 监控阶段</w:t>
      </w:r>
    </w:p>
    <w:p w14:paraId="187C424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质量监控手段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59B32DE7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loguru 日志系统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：所有模块 INFO/DEBUG/ERROR 级别日志，按模块区分，支持文件轮转（10MB 分片，7 天保留）</w:t>
      </w:r>
    </w:p>
    <w:p w14:paraId="06A103E7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编译检查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：每个 patch 后执行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py_compile.compile()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确保语法正确</w:t>
      </w:r>
    </w:p>
    <w:p w14:paraId="4F6D43C2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运行时验证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：启动后检查日志输出，确认所有引擎就绪、立绘加载正常</w:t>
      </w:r>
    </w:p>
    <w:p w14:paraId="1443DBE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关键监控指标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7"/>
        <w:gridCol w:w="5954"/>
        <w:gridCol w:w="945"/>
      </w:tblGrid>
      <w:tr w14:paraId="1EA1CC8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4" w:type="dxa"/>
            <w:tcBorders>
              <w:bottom w:val="single" w:color="000000" w:sz="6" w:space="0"/>
            </w:tcBorders>
            <w:vAlign w:val="center"/>
          </w:tcPr>
          <w:p w14:paraId="506012B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指标</w:t>
            </w:r>
          </w:p>
        </w:tc>
        <w:tc>
          <w:tcPr>
            <w:tcW w:w="5610" w:type="dxa"/>
            <w:tcBorders>
              <w:bottom w:val="single" w:color="000000" w:sz="6" w:space="0"/>
            </w:tcBorders>
            <w:vAlign w:val="center"/>
          </w:tcPr>
          <w:p w14:paraId="1F6278A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监控方式</w:t>
            </w:r>
          </w:p>
        </w:tc>
        <w:tc>
          <w:tcPr>
            <w:tcW w:w="890" w:type="dxa"/>
            <w:tcBorders>
              <w:bottom w:val="single" w:color="000000" w:sz="6" w:space="0"/>
            </w:tcBorders>
            <w:vAlign w:val="center"/>
          </w:tcPr>
          <w:p w14:paraId="125D81F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状态</w:t>
            </w:r>
          </w:p>
        </w:tc>
      </w:tr>
      <w:tr w14:paraId="7C3C9A7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4" w:type="dxa"/>
            <w:vAlign w:val="center"/>
          </w:tcPr>
          <w:p w14:paraId="157880D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应用启动</w:t>
            </w:r>
          </w:p>
        </w:tc>
        <w:tc>
          <w:tcPr>
            <w:tcW w:w="5610" w:type="dxa"/>
            <w:vAlign w:val="center"/>
          </w:tcPr>
          <w:p w14:paraId="3074D3B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日志 "Screen TTS Desk Pet v6 started"</w:t>
            </w:r>
          </w:p>
        </w:tc>
        <w:tc>
          <w:tcPr>
            <w:tcW w:w="890" w:type="dxa"/>
            <w:vAlign w:val="center"/>
          </w:tcPr>
          <w:p w14:paraId="40EFB28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  <w:rPr>
                <w:rFonts w:hint="eastAsia" w:eastAsia="宋体"/>
                <w:lang w:eastAsia="zh-CN"/>
              </w:rPr>
            </w:pP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正确</w:t>
            </w:r>
          </w:p>
        </w:tc>
      </w:tr>
      <w:tr w14:paraId="32B374A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4" w:type="dxa"/>
            <w:vAlign w:val="center"/>
          </w:tcPr>
          <w:p w14:paraId="1D44387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Qwen3 就绪</w:t>
            </w:r>
          </w:p>
        </w:tc>
        <w:tc>
          <w:tcPr>
            <w:tcW w:w="5610" w:type="dxa"/>
            <w:vAlign w:val="center"/>
          </w:tcPr>
          <w:p w14:paraId="5C7B17B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日志 "Qwen3-TTS ready"</w:t>
            </w:r>
          </w:p>
        </w:tc>
        <w:tc>
          <w:tcPr>
            <w:tcW w:w="890" w:type="dxa"/>
            <w:vAlign w:val="center"/>
          </w:tcPr>
          <w:p w14:paraId="03BFD86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正确</w:t>
            </w:r>
          </w:p>
        </w:tc>
      </w:tr>
      <w:tr w14:paraId="59C9B29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4" w:type="dxa"/>
            <w:vAlign w:val="center"/>
          </w:tcPr>
          <w:p w14:paraId="7A9FF98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VITS 就绪</w:t>
            </w:r>
          </w:p>
        </w:tc>
        <w:tc>
          <w:tcPr>
            <w:tcW w:w="5610" w:type="dxa"/>
            <w:vAlign w:val="center"/>
          </w:tcPr>
          <w:p w14:paraId="463EDA5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日志 "VITS ready (GPT-SOVITS, preset=xxx)"</w:t>
            </w:r>
          </w:p>
        </w:tc>
        <w:tc>
          <w:tcPr>
            <w:tcW w:w="890" w:type="dxa"/>
            <w:vAlign w:val="center"/>
          </w:tcPr>
          <w:p w14:paraId="04D8922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正确</w:t>
            </w:r>
          </w:p>
        </w:tc>
      </w:tr>
      <w:tr w14:paraId="6E5794C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4" w:type="dxa"/>
            <w:vAlign w:val="center"/>
          </w:tcPr>
          <w:p w14:paraId="13D3CB5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EmotionTTS 就绪</w:t>
            </w:r>
          </w:p>
        </w:tc>
        <w:tc>
          <w:tcPr>
            <w:tcW w:w="5610" w:type="dxa"/>
            <w:vAlign w:val="center"/>
          </w:tcPr>
          <w:p w14:paraId="2496E7E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日志 "EmotionTTS ready (indexTTS2)"</w:t>
            </w:r>
          </w:p>
        </w:tc>
        <w:tc>
          <w:tcPr>
            <w:tcW w:w="890" w:type="dxa"/>
            <w:vAlign w:val="center"/>
          </w:tcPr>
          <w:p w14:paraId="302C98F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正确</w:t>
            </w:r>
          </w:p>
        </w:tc>
      </w:tr>
      <w:tr w14:paraId="2443EEF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4" w:type="dxa"/>
            <w:vAlign w:val="center"/>
          </w:tcPr>
          <w:p w14:paraId="77B6173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Tesseract 就绪</w:t>
            </w:r>
          </w:p>
        </w:tc>
        <w:tc>
          <w:tcPr>
            <w:tcW w:w="5610" w:type="dxa"/>
            <w:vAlign w:val="center"/>
          </w:tcPr>
          <w:p w14:paraId="280D1E5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日志 "Tesseract OCR 就绪"</w:t>
            </w:r>
          </w:p>
        </w:tc>
        <w:tc>
          <w:tcPr>
            <w:tcW w:w="890" w:type="dxa"/>
            <w:vAlign w:val="center"/>
          </w:tcPr>
          <w:p w14:paraId="63E6FFA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正确</w:t>
            </w:r>
          </w:p>
        </w:tc>
      </w:tr>
      <w:tr w14:paraId="548D73B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4" w:type="dxa"/>
            <w:vAlign w:val="center"/>
          </w:tcPr>
          <w:p w14:paraId="639BCA6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立绘加载</w:t>
            </w:r>
          </w:p>
        </w:tc>
        <w:tc>
          <w:tcPr>
            <w:tcW w:w="5610" w:type="dxa"/>
            <w:vAlign w:val="center"/>
          </w:tcPr>
          <w:p w14:paraId="29CFB97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日志 "Tachie: 已显示 N 个差分"</w:t>
            </w:r>
          </w:p>
        </w:tc>
        <w:tc>
          <w:tcPr>
            <w:tcW w:w="890" w:type="dxa"/>
            <w:vAlign w:val="center"/>
          </w:tcPr>
          <w:p w14:paraId="3C8871D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正确</w:t>
            </w:r>
          </w:p>
        </w:tc>
      </w:tr>
      <w:tr w14:paraId="2036535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4" w:type="dxa"/>
            <w:vAlign w:val="center"/>
          </w:tcPr>
          <w:p w14:paraId="27429E0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无异常堆栈</w:t>
            </w:r>
          </w:p>
        </w:tc>
        <w:tc>
          <w:tcPr>
            <w:tcW w:w="5610" w:type="dxa"/>
            <w:vAlign w:val="center"/>
          </w:tcPr>
          <w:p w14:paraId="4F2A2D1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无 Traceback</w:t>
            </w:r>
          </w:p>
        </w:tc>
        <w:tc>
          <w:tcPr>
            <w:tcW w:w="890" w:type="dxa"/>
            <w:vAlign w:val="center"/>
          </w:tcPr>
          <w:p w14:paraId="4B6F72D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正确</w:t>
            </w:r>
          </w:p>
        </w:tc>
      </w:tr>
      <w:tr w14:paraId="58207BE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4" w:type="dxa"/>
            <w:vAlign w:val="center"/>
          </w:tcPr>
          <w:p w14:paraId="4998023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音频播放</w:t>
            </w:r>
          </w:p>
        </w:tc>
        <w:tc>
          <w:tcPr>
            <w:tcW w:w="5610" w:type="dxa"/>
            <w:vAlign w:val="center"/>
          </w:tcPr>
          <w:p w14:paraId="7FD5B39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"Playback finished: N bytes, N.Ns"</w:t>
            </w:r>
          </w:p>
        </w:tc>
        <w:tc>
          <w:tcPr>
            <w:tcW w:w="890" w:type="dxa"/>
            <w:vAlign w:val="center"/>
          </w:tcPr>
          <w:p w14:paraId="737E702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正确</w:t>
            </w:r>
          </w:p>
        </w:tc>
      </w:tr>
    </w:tbl>
    <w:p w14:paraId="360E6ED7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240" w:lineRule="auto"/>
        <w:ind w:left="0" w:right="0" w:firstLine="0"/>
        <w:jc w:val="left"/>
        <w:textAlignment w:val="auto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二、项目关键成就</w:t>
      </w:r>
    </w:p>
    <w:p w14:paraId="08CAB8AB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40" w:lineRule="auto"/>
        <w:ind w:left="0" w:right="0" w:firstLine="0"/>
        <w:jc w:val="left"/>
        <w:textAlignment w:val="auto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M1 - 屏幕 OCR 识别</w:t>
      </w:r>
    </w:p>
    <w:p w14:paraId="4C3B02F7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实现全屏透明覆盖层区域选择器，支持角色名区域 + 内容区域分离框选</w:t>
      </w:r>
    </w:p>
    <w:p w14:paraId="1250C7CC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集成 Tesseract OCR，支持 chi_sim+eng 混合语言识别</w:t>
      </w:r>
    </w:p>
    <w:p w14:paraId="4CB2D5A0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实现 Input-event 监控器（Win32 GetLastInputInfo API），800ms 可调延迟</w:t>
      </w:r>
    </w:p>
    <w:p w14:paraId="5833A586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40" w:lineRule="auto"/>
        <w:ind w:left="0" w:right="0" w:firstLine="0"/>
        <w:jc w:val="left"/>
        <w:textAlignment w:val="auto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M2 - 多引擎 TTS</w:t>
      </w:r>
    </w:p>
    <w:p w14:paraId="0D8D5719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统一 MultiTTSClient 接口，支持三引擎热切换</w:t>
      </w:r>
    </w:p>
    <w:p w14:paraId="31750ECD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Qwen3：12 种音色，8 种语言，DashScope API</w:t>
      </w:r>
    </w:p>
    <w:p w14:paraId="7567E129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VITS：5 种模型类型，GPT-SOVITS 支持 preset/prompt_text/质量参数</w:t>
      </w:r>
    </w:p>
    <w:p w14:paraId="7D637CBC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EmotionTTS：indexTTS2 模型，OpenAI 兼容格式</w:t>
      </w:r>
    </w:p>
    <w:p w14:paraId="6C0DF7D7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40" w:lineRule="auto"/>
        <w:ind w:left="0" w:right="0" w:firstLine="0"/>
        <w:jc w:val="left"/>
        <w:textAlignment w:val="auto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M3 - 流式低延迟播放</w:t>
      </w:r>
    </w:p>
    <w:p w14:paraId="6E6B48F4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Producer-Consumer 架构：合成线程 → 队列 → 播放线程</w:t>
      </w:r>
    </w:p>
    <w:p w14:paraId="03C22D5B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句子级分句，首句 2s 内播放</w:t>
      </w:r>
    </w:p>
    <w:p w14:paraId="2A30922B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引擎自适应采样率（22-32kHz）</w:t>
      </w:r>
    </w:p>
    <w:p w14:paraId="523EE85F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PyAudio 设备自动恢复</w:t>
      </w:r>
    </w:p>
    <w:p w14:paraId="78403246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40" w:lineRule="auto"/>
        <w:ind w:left="0" w:right="0" w:firstLine="0"/>
        <w:jc w:val="left"/>
        <w:textAlignment w:val="auto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M4 - AI 角色陪伴</w:t>
      </w:r>
    </w:p>
    <w:p w14:paraId="0A7B7659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DeepSeek API 集成，角色人格提示词驱动对话</w:t>
      </w:r>
    </w:p>
    <w:p w14:paraId="73133BE9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28 种情绪标签 + [情绪] | [中文] | [日文] 格式解析</w:t>
      </w:r>
    </w:p>
    <w:p w14:paraId="00E2AEF7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自动立绘切换 + TTS 语音输出</w:t>
      </w:r>
    </w:p>
    <w:p w14:paraId="14C5AC56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40" w:lineRule="auto"/>
        <w:ind w:left="0" w:right="0" w:firstLine="0"/>
        <w:jc w:val="left"/>
        <w:textAlignment w:val="auto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M5 - 双角色系统</w:t>
      </w:r>
    </w:p>
    <w:p w14:paraId="257659ED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DisplayCharacterManager：前端角色（立绘、提示词、TTS 绑定）</w:t>
      </w:r>
    </w:p>
    <w:p w14:paraId="4F85BB8F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CharacterManager：语音库（参考音频、情绪标签、ZIP 导入导出）</w:t>
      </w:r>
    </w:p>
    <w:p w14:paraId="3090C6FC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两系统通过 tts_voice 关联，灵活组合</w:t>
      </w:r>
    </w:p>
    <w:p w14:paraId="05BCA225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40" w:lineRule="auto"/>
        <w:ind w:left="0" w:right="0" w:firstLine="0"/>
        <w:jc w:val="left"/>
        <w:textAlignment w:val="auto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M6 - 设置与配置</w:t>
      </w:r>
    </w:p>
    <w:p w14:paraId="7C21270D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5 标签页 GUI 配置界面</w:t>
      </w:r>
    </w:p>
    <w:p w14:paraId="1D81C19A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YAML + .env 双通道配置</w:t>
      </w:r>
    </w:p>
    <w:p w14:paraId="3F2BB4BB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VITS 质量参数（Temperature、Top-K、Top-P、Speed）可视化调节</w:t>
      </w:r>
    </w:p>
    <w:p w14:paraId="59B9CB53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Voice 列表按引擎动态切换</w:t>
      </w:r>
    </w:p>
    <w:p w14:paraId="2F4EE035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240" w:lineRule="auto"/>
        <w:ind w:left="0" w:right="0" w:firstLine="0"/>
        <w:jc w:val="left"/>
        <w:textAlignment w:val="auto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三、经验教训</w:t>
      </w:r>
    </w:p>
    <w:p w14:paraId="180AC28F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40" w:lineRule="auto"/>
        <w:ind w:left="0" w:right="0" w:firstLine="0"/>
        <w:jc w:val="left"/>
        <w:textAlignment w:val="auto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成功经验</w:t>
      </w:r>
    </w:p>
    <w:p w14:paraId="3BE402F4">
      <w:pPr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先跑通再优化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：每个模块先实现最小可用版本（MVP），然后逐步完善。例如 VITS 先实现基本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/voice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调用，再逐步增加 GPT-SOVITS 支持。</w:t>
      </w:r>
    </w:p>
    <w:p w14:paraId="613F1A65">
      <w:pPr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日志驱动调试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：loguru 的模块级日志让问题定位迅速。每个模块的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logger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输出包含模块名和行号。</w:t>
      </w:r>
    </w:p>
    <w:p w14:paraId="7495BF1E">
      <w:pPr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参考已有实现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：EmotionTTS v4.5 源码、RealtimeTTS 架构、ZcChat2 功能设计都提供了宝贵的参考。</w:t>
      </w:r>
    </w:p>
    <w:p w14:paraId="28F46220">
      <w:pPr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多引擎冗余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：Qwen3 不可用时回退 VITS/EmotionTTS，避免单点依赖。</w:t>
      </w:r>
    </w:p>
    <w:p w14:paraId="4960FC7D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40" w:lineRule="auto"/>
        <w:ind w:left="0" w:right="0" w:firstLine="0"/>
        <w:jc w:val="left"/>
        <w:textAlignment w:val="auto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不足与改进</w:t>
      </w:r>
    </w:p>
    <w:p w14:paraId="794E6E67">
      <w:pPr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前端状态与后端调用不一致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：多次出现 UI 显示切换了 Voice，但实际调用仍用旧值。应统一数据流：所有状态变化通过信号传递，避免直接读 UI 控件。</w:t>
      </w:r>
    </w:p>
    <w:p w14:paraId="67A662D8">
      <w:pPr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PowerShell 转义问题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：在 Windows 环境下通过 PS 执行 Python inline script 时频繁遇到字符串转义问题。应统一使用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.py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文件 +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python xxx.py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方式。</w:t>
      </w:r>
    </w:p>
    <w:p w14:paraId="12A2CD6E">
      <w:pPr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配置文件版本管理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.env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和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config.yaml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修改频繁，缺少 migration 机制。后续应增加配置版本号和校验。</w:t>
      </w:r>
    </w:p>
    <w:p w14:paraId="49289C3C">
      <w:pPr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测试覆盖不足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：缺乏自动化测试，依赖手动验证。应增加单元测试（TTS 引擎 mock、OCR mock）和集成测试。</w:t>
      </w:r>
    </w:p>
    <w:p w14:paraId="151EAF15">
      <w:pPr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文档滞后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：代码先于文档，导致最后集中写文档时遗漏细节。应采用"文档驱动开发"，每个模块完成后立即更新文档。</w:t>
      </w:r>
    </w:p>
    <w:p w14:paraId="2735D856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240" w:lineRule="auto"/>
        <w:ind w:left="0" w:right="0" w:firstLine="0"/>
        <w:jc w:val="left"/>
        <w:textAlignment w:val="auto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四、参与人员的自我评价</w:t>
      </w:r>
    </w:p>
    <w:p w14:paraId="7DB7C77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hint="eastAsia" w:cs="Times New Roman"/>
          <w:color w:val="000000"/>
          <w:sz w:val="24"/>
          <w:szCs w:val="24"/>
          <w:lang w:val="en-US" w:eastAsia="zh-CN"/>
        </w:rPr>
        <w:t>马鑫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4609518D">
      <w:pPr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全栈能力提升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：从 GUI 设计（PyQt5）到后端逻辑（TTS 引擎封装）到系统集成（信号/槽、多线程），完整实践了 Python 桌面应用开发流程。</w:t>
      </w:r>
    </w:p>
    <w:p w14:paraId="05646321">
      <w:pPr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第三方 API 集成经验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：深入理解了 DashScope Qwen3-TTS、EmotionTTS Cloud、VITS-simple-api 三个不同风格 API 的鉴权方式、参数格式和错误处理。</w:t>
      </w:r>
    </w:p>
    <w:p w14:paraId="42A246EB">
      <w:pPr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实时系统设计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：Producer-Consumer 模式、句子级流式合成、采样率自适应等实时音频系统的设计经验。</w:t>
      </w:r>
    </w:p>
    <w:p w14:paraId="0B3C16D4">
      <w:pPr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问题解决能力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：面对 Tesseract 语言包配置、EmotionTTS 参考音频编码、GPT-SOVITS 参数传递等一系列问题，通过阅读源码、日志分析和逐步排查逐一解决。</w:t>
      </w:r>
    </w:p>
    <w:p w14:paraId="6C3FA48F">
      <w:pPr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项目管理意识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：通过 WBS 分解、版本迭代、日志监控等手段，保证项目按时按质完成。</w:t>
      </w:r>
    </w:p>
    <w:p w14:paraId="03894A56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240" w:lineRule="auto"/>
        <w:ind w:left="0" w:right="0" w:firstLine="0"/>
        <w:jc w:val="left"/>
        <w:textAlignment w:val="auto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五、项目经理对参与人员的打分评价</w:t>
      </w:r>
    </w:p>
    <w:tbl>
      <w:tblPr>
        <w:tblStyle w:val="11"/>
        <w:tblW w:w="4988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6"/>
        <w:gridCol w:w="1086"/>
        <w:gridCol w:w="6832"/>
      </w:tblGrid>
      <w:tr w14:paraId="2E48EC4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8" w:type="dxa"/>
            <w:tcBorders>
              <w:bottom w:val="single" w:color="000000" w:sz="6" w:space="0"/>
            </w:tcBorders>
            <w:vAlign w:val="center"/>
          </w:tcPr>
          <w:p w14:paraId="38C9C81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参与人员</w:t>
            </w:r>
          </w:p>
        </w:tc>
        <w:tc>
          <w:tcPr>
            <w:tcW w:w="1088" w:type="dxa"/>
            <w:tcBorders>
              <w:bottom w:val="single" w:color="000000" w:sz="6" w:space="0"/>
            </w:tcBorders>
            <w:vAlign w:val="center"/>
          </w:tcPr>
          <w:p w14:paraId="2A51A69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得分 (100)</w:t>
            </w:r>
          </w:p>
        </w:tc>
        <w:tc>
          <w:tcPr>
            <w:tcW w:w="6850" w:type="dxa"/>
            <w:tcBorders>
              <w:bottom w:val="single" w:color="000000" w:sz="6" w:space="0"/>
            </w:tcBorders>
            <w:vAlign w:val="center"/>
          </w:tcPr>
          <w:p w14:paraId="734620D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评语</w:t>
            </w:r>
          </w:p>
        </w:tc>
      </w:tr>
      <w:tr w14:paraId="5EA0F58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15" w:hRule="atLeast"/>
        </w:trPr>
        <w:tc>
          <w:tcPr>
            <w:tcW w:w="1088" w:type="dxa"/>
            <w:vAlign w:val="center"/>
          </w:tcPr>
          <w:p w14:paraId="5854F09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王婧晋</w:t>
            </w:r>
          </w:p>
        </w:tc>
        <w:tc>
          <w:tcPr>
            <w:tcW w:w="1088" w:type="dxa"/>
            <w:vAlign w:val="center"/>
          </w:tcPr>
          <w:p w14:paraId="3B110B4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70</w:t>
            </w:r>
          </w:p>
        </w:tc>
        <w:tc>
          <w:tcPr>
            <w:tcW w:w="6850" w:type="dxa"/>
            <w:vAlign w:val="center"/>
          </w:tcPr>
          <w:p w14:paraId="4ABC94F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参与ppt制作与开题讨论</w:t>
            </w:r>
          </w:p>
        </w:tc>
      </w:tr>
      <w:tr w14:paraId="74BB7C0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8" w:type="dxa"/>
            <w:vAlign w:val="center"/>
          </w:tcPr>
          <w:p w14:paraId="3DAE2B2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梁艺馨</w:t>
            </w:r>
          </w:p>
        </w:tc>
        <w:tc>
          <w:tcPr>
            <w:tcW w:w="1088" w:type="dxa"/>
            <w:vAlign w:val="center"/>
          </w:tcPr>
          <w:p w14:paraId="291B003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65</w:t>
            </w:r>
          </w:p>
        </w:tc>
        <w:tc>
          <w:tcPr>
            <w:tcW w:w="6850" w:type="dxa"/>
            <w:vAlign w:val="center"/>
          </w:tcPr>
          <w:p w14:paraId="4858174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参与开题讨论</w:t>
            </w:r>
          </w:p>
        </w:tc>
      </w:tr>
      <w:tr w14:paraId="7B85BFB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8" w:type="dxa"/>
            <w:vAlign w:val="center"/>
          </w:tcPr>
          <w:p w14:paraId="0DCD31A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杨子琪</w:t>
            </w:r>
          </w:p>
        </w:tc>
        <w:tc>
          <w:tcPr>
            <w:tcW w:w="1088" w:type="dxa"/>
            <w:vAlign w:val="center"/>
          </w:tcPr>
          <w:p w14:paraId="644CE23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65</w:t>
            </w:r>
          </w:p>
        </w:tc>
        <w:tc>
          <w:tcPr>
            <w:tcW w:w="6850" w:type="dxa"/>
            <w:vAlign w:val="center"/>
          </w:tcPr>
          <w:p w14:paraId="76E273B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参与开题讨论</w:t>
            </w:r>
          </w:p>
        </w:tc>
      </w:tr>
      <w:tr w14:paraId="07BA1A0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8" w:type="dxa"/>
            <w:vAlign w:val="center"/>
          </w:tcPr>
          <w:p w14:paraId="1B49E05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刘宇轩</w:t>
            </w:r>
          </w:p>
        </w:tc>
        <w:tc>
          <w:tcPr>
            <w:tcW w:w="1088" w:type="dxa"/>
            <w:vAlign w:val="center"/>
          </w:tcPr>
          <w:p w14:paraId="3D14D01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60</w:t>
            </w:r>
          </w:p>
        </w:tc>
        <w:tc>
          <w:tcPr>
            <w:tcW w:w="6850" w:type="dxa"/>
            <w:vAlign w:val="center"/>
          </w:tcPr>
          <w:p w14:paraId="2351D1C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left="0" w:right="0" w:firstLine="0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参与开题讨论</w:t>
            </w:r>
            <w:bookmarkStart w:id="0" w:name="_GoBack"/>
            <w:bookmarkEnd w:id="0"/>
          </w:p>
        </w:tc>
      </w:tr>
    </w:tbl>
    <w:p w14:paraId="44A7375B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240" w:lineRule="auto"/>
        <w:ind w:left="0" w:right="0" w:firstLine="0"/>
        <w:jc w:val="left"/>
        <w:textAlignment w:val="auto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六、未来展望</w:t>
      </w:r>
    </w:p>
    <w:p w14:paraId="6DB4145F">
      <w:pPr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PaddleOCR 替代 Tesseract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：PaddleOCR 在中文识别精度和速度上优于 Tesseract，可作为升级方向。</w:t>
      </w:r>
    </w:p>
    <w:p w14:paraId="41B70986">
      <w:pPr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VITS 本地部署一体化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：将 VITS-simple-api 的模型下载和配置整合到 setup.bat，实现开箱即用。</w:t>
      </w:r>
    </w:p>
    <w:p w14:paraId="00BE3542">
      <w:pPr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Cartesia Sonic 集成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：Cartesia 的毫秒级流式 TTS 可进一步提升实时性，待 API 格式调查清楚后集成。</w:t>
      </w:r>
    </w:p>
    <w:p w14:paraId="1B7C1846">
      <w:pPr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多显示器支持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：当前 RegionSelector 仅覆盖主显示器，后续支持多屏区域选择。</w:t>
      </w:r>
    </w:p>
    <w:p w14:paraId="4EA951C0">
      <w:pPr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插件系统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：提供 TTS 引擎插件接口，允许第三方开发者添加新的 TTS 后端。</w:t>
      </w:r>
    </w:p>
    <w:p w14:paraId="3E88237C">
      <w:pPr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移动端适配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：通过 Kivy 或 Flutter 实现 Android/iOS 版本，扩展使用场景。</w:t>
      </w:r>
    </w:p>
    <w:p w14:paraId="2F266EB9">
      <w:pPr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0"/>
        <w:jc w:val="both"/>
        <w:textAlignment w:val="auto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语音识别 (ASR) 集成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：增加语音输入功能，实现双向语音交互</w:t>
      </w:r>
      <w:r>
        <w:rPr>
          <w:rFonts w:hint="eastAsia" w:cs="Times New Roman"/>
          <w:color w:val="000000"/>
          <w:sz w:val="24"/>
          <w:szCs w:val="24"/>
          <w:lang w:eastAsia="zh-CN"/>
        </w:rPr>
        <w:t>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suff w:val="space"/>
      <w:lvlText w:val="●"/>
      <w:lvlJc w:val="left"/>
      <w:pPr>
        <w:ind w:left="720" w:hanging="360"/>
      </w:pPr>
    </w:lvl>
    <w:lvl w:ilvl="1" w:tentative="0">
      <w:start w:val="1"/>
      <w:numFmt w:val="bullet"/>
      <w:suff w:val="space"/>
      <w:lvlText w:val="○"/>
      <w:lvlJc w:val="left"/>
      <w:pPr>
        <w:ind w:left="1440" w:hanging="360"/>
      </w:pPr>
    </w:lvl>
    <w:lvl w:ilvl="2" w:tentative="0">
      <w:start w:val="1"/>
      <w:numFmt w:val="bullet"/>
      <w:suff w:val="space"/>
      <w:lvlText w:val="■"/>
      <w:lvlJc w:val="left"/>
      <w:pPr>
        <w:ind w:left="2160" w:hanging="360"/>
      </w:pPr>
    </w:lvl>
    <w:lvl w:ilvl="3" w:tentative="0">
      <w:start w:val="1"/>
      <w:numFmt w:val="bullet"/>
      <w:suff w:val="space"/>
      <w:lvlText w:val="●"/>
      <w:lvlJc w:val="left"/>
      <w:pPr>
        <w:ind w:left="2880" w:hanging="360"/>
      </w:pPr>
    </w:lvl>
    <w:lvl w:ilvl="4" w:tentative="0">
      <w:start w:val="1"/>
      <w:numFmt w:val="bullet"/>
      <w:suff w:val="space"/>
      <w:lvlText w:val="○"/>
      <w:lvlJc w:val="left"/>
      <w:pPr>
        <w:ind w:left="3600" w:hanging="360"/>
      </w:pPr>
    </w:lvl>
    <w:lvl w:ilvl="5" w:tentative="0">
      <w:start w:val="1"/>
      <w:numFmt w:val="bullet"/>
      <w:suff w:val="space"/>
      <w:lvlText w:val="■"/>
      <w:lvlJc w:val="left"/>
      <w:pPr>
        <w:ind w:left="4320" w:hanging="360"/>
      </w:pPr>
    </w:lvl>
    <w:lvl w:ilvl="6" w:tentative="0">
      <w:start w:val="1"/>
      <w:numFmt w:val="bullet"/>
      <w:suff w:val="space"/>
      <w:lvlText w:val="●"/>
      <w:lvlJc w:val="left"/>
      <w:pPr>
        <w:ind w:left="5040" w:hanging="360"/>
      </w:pPr>
    </w:lvl>
    <w:lvl w:ilvl="7" w:tentative="0">
      <w:start w:val="1"/>
      <w:numFmt w:val="bullet"/>
      <w:suff w:val="space"/>
      <w:lvlText w:val="●"/>
      <w:lvlJc w:val="left"/>
      <w:pPr>
        <w:ind w:left="5760" w:hanging="360"/>
      </w:pPr>
    </w:lvl>
    <w:lvl w:ilvl="8" w:tentative="0">
      <w:start w:val="1"/>
      <w:numFmt w:val="bullet"/>
      <w:suff w:val="space"/>
      <w:lvlText w:val="●"/>
      <w:lvlJc w:val="left"/>
      <w:pPr>
        <w:ind w:left="6480" w:hanging="3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suff w:val="space"/>
      <w:lvlText w:val="%1."/>
      <w:lvlJc w:val="left"/>
      <w:rPr>
        <w:rFonts w:ascii="Times New Roman" w:hAnsi="Times New Roman" w:eastAsia="宋体" w:cs="Times New Roman"/>
        <w:sz w:val="24"/>
        <w:szCs w:val="24"/>
      </w:rPr>
    </w:lvl>
    <w:lvl w:ilvl="1" w:tentative="0">
      <w:start w:val="1"/>
      <w:numFmt w:val="decimal"/>
      <w:suff w:val="space"/>
      <w:lvlText w:val="%1.%2"/>
      <w:lvlJc w:val="left"/>
      <w:rPr>
        <w:rFonts w:ascii="Times New Roman" w:hAnsi="Times New Roman" w:eastAsia="宋体" w:cs="Times New Roman"/>
        <w:sz w:val="24"/>
        <w:szCs w:val="24"/>
      </w:rPr>
    </w:lvl>
    <w:lvl w:ilvl="2" w:tentative="0">
      <w:start w:val="1"/>
      <w:numFmt w:val="decimal"/>
      <w:suff w:val="space"/>
      <w:lvlText w:val="%1.%2.%3"/>
      <w:lvlJc w:val="left"/>
      <w:rPr>
        <w:rFonts w:ascii="Times New Roman" w:hAnsi="Times New Roman" w:eastAsia="宋体" w:cs="Times New Roman"/>
        <w:sz w:val="24"/>
        <w:szCs w:val="24"/>
      </w:rPr>
    </w:lvl>
    <w:lvl w:ilvl="3" w:tentative="0">
      <w:start w:val="1"/>
      <w:numFmt w:val="decimal"/>
      <w:suff w:val="space"/>
      <w:lvlText w:val="%4."/>
      <w:lvlJc w:val="left"/>
      <w:rPr>
        <w:rFonts w:ascii="Times New Roman" w:hAnsi="Times New Roman" w:eastAsia="宋体" w:cs="Times New Roman"/>
        <w:sz w:val="24"/>
        <w:szCs w:val="24"/>
      </w:rPr>
    </w:lvl>
    <w:lvl w:ilvl="4" w:tentative="0">
      <w:start w:val="1"/>
      <w:numFmt w:val="decimal"/>
      <w:suff w:val="space"/>
      <w:lvlText w:val="%5."/>
      <w:lvlJc w:val="left"/>
      <w:rPr>
        <w:rFonts w:ascii="Times New Roman" w:hAnsi="Times New Roman" w:eastAsia="宋体" w:cs="Times New Roman"/>
        <w:sz w:val="24"/>
        <w:szCs w:val="24"/>
      </w:rPr>
    </w:lvl>
    <w:lvl w:ilvl="5" w:tentative="0">
      <w:start w:val="1"/>
      <w:numFmt w:val="decimal"/>
      <w:suff w:val="space"/>
      <w:lvlText w:val="%6."/>
      <w:lvlJc w:val="left"/>
      <w:rPr>
        <w:rFonts w:ascii="Times New Roman" w:hAnsi="Times New Roman" w:eastAsia="宋体" w:cs="Times New Roman"/>
        <w:sz w:val="24"/>
        <w:szCs w:val="24"/>
      </w:rPr>
    </w:lvl>
    <w:lvl w:ilvl="6" w:tentative="0">
      <w:start w:val="1"/>
      <w:numFmt w:val="decimal"/>
      <w:suff w:val="space"/>
      <w:lvlText w:val="%7."/>
      <w:lvlJc w:val="left"/>
      <w:rPr>
        <w:rFonts w:ascii="Times New Roman" w:hAnsi="Times New Roman" w:eastAsia="宋体" w:cs="Times New Roman"/>
        <w:sz w:val="24"/>
        <w:szCs w:val="24"/>
      </w:rPr>
    </w:lvl>
    <w:lvl w:ilvl="7" w:tentative="0">
      <w:start w:val="1"/>
      <w:numFmt w:val="decimal"/>
      <w:suff w:val="space"/>
      <w:lvlText w:val="%8."/>
      <w:lvlJc w:val="left"/>
      <w:rPr>
        <w:rFonts w:ascii="Times New Roman" w:hAnsi="Times New Roman" w:eastAsia="宋体" w:cs="Times New Roman"/>
        <w:sz w:val="24"/>
        <w:szCs w:val="24"/>
      </w:rPr>
    </w:lvl>
    <w:lvl w:ilvl="8" w:tentative="0">
      <w:start w:val="1"/>
      <w:numFmt w:val="decimal"/>
      <w:suff w:val="space"/>
      <w:lvlText w:val="%9."/>
      <w:lvlJc w:val="left"/>
      <w:rPr>
        <w:rFonts w:ascii="Times New Roman" w:hAnsi="Times New Roman" w:eastAsia="宋体" w:cs="Times New Roman"/>
        <w:sz w:val="24"/>
        <w:szCs w:val="24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2BD01EDE"/>
    <w:rsid w:val="334744FA"/>
    <w:rsid w:val="4E3F1087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400" w:lineRule="exact"/>
      <w:ind w:left="0" w:right="0" w:firstLine="480"/>
      <w:jc w:val="both"/>
    </w:pPr>
    <w:rPr>
      <w:rFonts w:ascii="Times New Roman" w:hAnsi="Times New Roman" w:eastAsia="宋体" w:cs="Times New Roman"/>
      <w:color w:val="000000"/>
      <w:sz w:val="24"/>
      <w:szCs w:val="24"/>
    </w:rPr>
  </w:style>
  <w:style w:type="paragraph" w:styleId="2">
    <w:name w:val="heading 1"/>
    <w:basedOn w:val="1"/>
    <w:next w:val="1"/>
    <w:qFormat/>
    <w:uiPriority w:val="0"/>
    <w:pPr>
      <w:keepNext/>
      <w:spacing w:before="480" w:after="240"/>
      <w:outlineLvl w:val="0"/>
    </w:pPr>
    <w:rPr>
      <w:rFonts w:ascii="Times New Roman" w:hAnsi="Times New Roman" w:eastAsia="黑体" w:cs="Times New Roman"/>
      <w:b/>
      <w:bCs/>
      <w:color w:val="000000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400" w:after="200"/>
      <w:outlineLvl w:val="1"/>
    </w:pPr>
    <w:rPr>
      <w:rFonts w:ascii="Times New Roman" w:hAnsi="Times New Roman" w:eastAsia="黑体" w:cs="Times New Roman"/>
      <w:b/>
      <w:bCs/>
      <w:color w:val="000000"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spacing w:before="320" w:after="160"/>
      <w:outlineLvl w:val="2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before="280" w:after="140"/>
      <w:outlineLvl w:val="3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spacing w:before="240" w:after="120"/>
      <w:outlineLvl w:val="4"/>
    </w:pPr>
    <w:rPr>
      <w:rFonts w:ascii="Times New Roman" w:hAnsi="Times New Roman" w:eastAsia="黑体" w:cs="Times New Roman"/>
      <w:b/>
      <w:bCs/>
      <w:i/>
      <w:iCs/>
      <w:color w:val="000000"/>
      <w:sz w:val="24"/>
      <w:szCs w:val="24"/>
    </w:rPr>
  </w:style>
  <w:style w:type="paragraph" w:styleId="7">
    <w:name w:val="heading 6"/>
    <w:basedOn w:val="1"/>
    <w:next w:val="1"/>
    <w:qFormat/>
    <w:uiPriority w:val="0"/>
    <w:pPr>
      <w:keepNext/>
      <w:spacing w:before="240" w:after="120"/>
      <w:outlineLvl w:val="5"/>
    </w:pPr>
    <w:rPr>
      <w:i/>
      <w:iCs/>
      <w:color w:val="44546A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basedOn w:val="1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  <w:style w:type="paragraph" w:customStyle="1" w:styleId="19">
    <w:name w:val="MdBlockquote"/>
    <w:basedOn w:val="1"/>
    <w:next w:val="1"/>
    <w:qFormat/>
    <w:uiPriority w:val="0"/>
    <w:pPr>
      <w:pBdr>
        <w:left w:val="single" w:color="666666" w:sz="20" w:space="12"/>
      </w:pBdr>
      <w:shd w:val="clear" w:fill="F9F9F9"/>
      <w:spacing w:before="200" w:after="200"/>
      <w:ind w:left="360"/>
    </w:pPr>
    <w:rPr>
      <w:rFonts w:ascii="Times New Roman" w:hAnsi="Times New Roman" w:eastAsia="宋体" w:cs="Times New Roman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583</Words>
  <Characters>886</Characters>
  <TotalTime>5</TotalTime>
  <ScaleCrop>false</ScaleCrop>
  <LinksUpToDate>false</LinksUpToDate>
  <CharactersWithSpaces>981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2026-06-18T04:36:00Z</dcterms:created>
  <dc:creator>Un-named</dc:creator>
  <cp:lastModifiedBy>WPS_1601472217</cp:lastModifiedBy>
  <dcterms:modified xsi:type="dcterms:W3CDTF">2026-06-18T13:51:44Z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eyJoZGlkIjoiMWI0MzE3Njk2ZWZjNDE1OTYxYmU2NWRjYzkyYTQ0OGQiLCJ1c2VySWQiOiIxMTI2MTgwMjE0In0=</vt:lpwstr>
  </property>
  <property fmtid="{D5CDD505-2E9C-101B-9397-08002B2CF9AE}" pid="3" name="KSOProductBuildVer">
    <vt:lpwstr>2052-12.1.0.26895</vt:lpwstr>
  </property>
  <property fmtid="{D5CDD505-2E9C-101B-9397-08002B2CF9AE}" pid="4" name="ICV">
    <vt:lpwstr>B6D697BFF1424C44B48E46693F9DA0B3_12</vt:lpwstr>
  </property>
</Properties>
</file>