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1C6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实验四</w:t>
      </w:r>
    </w:p>
    <w:p w14:paraId="096BEDEE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1.双方的分歧主要体现在：</w:t>
      </w:r>
    </w:p>
    <w:p w14:paraId="12808FD5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（1）需求范围与完整性： </w:t>
      </w:r>
    </w:p>
    <w:p w14:paraId="5B67CC07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业务部门认为核算需求已经清晰，只需尽快实现；小王认为这只是一个具体需求，缺乏对整体项目管理模式、与产品开发流程结合、与PDM系统整合等方面的整体考虑。</w:t>
      </w:r>
    </w:p>
    <w:p w14:paraId="5EE9E6AC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（2）项目定位：</w:t>
      </w:r>
    </w:p>
    <w:p w14:paraId="665B0812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业务部门倾向于将其作为一个快速上马的独立项目，认为价值明确；小王认为这只是一个临时解决方案，缺乏与公司已有信息化架构的统筹，未来可能造成系统割裂。</w:t>
      </w:r>
    </w:p>
    <w:p w14:paraId="6698528C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（3）立项前的论证必要性： </w:t>
      </w:r>
    </w:p>
    <w:p w14:paraId="640DF5C3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业务部门希望尽快选型实施，认为立项后再细化方案即可；小王坚持必须先完成需求、方案、投入产出、风险、产品情况等论证，才能进入选型。</w:t>
      </w:r>
    </w:p>
    <w:p w14:paraId="628E75D5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（4）责任归属：</w:t>
      </w:r>
    </w:p>
    <w:p w14:paraId="26478891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业务部门认为信息化项目部若延误立项，影响业务开展需承担责任；小王认为业务部门需求不清、方案不明，盲目启动风险高，不应为不合理要求承担责任。</w:t>
      </w:r>
    </w:p>
    <w:p w14:paraId="688F3F9C"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 w14:paraId="10EF1ABB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2.（1）确保项目目标与业务战略一致： </w:t>
      </w:r>
    </w:p>
    <w:p w14:paraId="58AE72AC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避免项目偏离企业整体发展方向，防止“为信息化而信息化”。</w:t>
      </w:r>
    </w:p>
    <w:p w14:paraId="47B9CC81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（2）减少项目范围蔓延与返工：</w:t>
      </w:r>
    </w:p>
    <w:p w14:paraId="2343F394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明确需求边界、系统定位、与现有系统的关系，避免后续频繁变更，降低实施成本。</w:t>
      </w:r>
    </w:p>
    <w:p w14:paraId="4289A7FF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（3）提高干系人协作效率： </w:t>
      </w:r>
    </w:p>
    <w:p w14:paraId="2C905D9B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业务部门与信息化部门对项目目标、范围、风险达成共识，减少沟通障碍与冲突，形成合力。</w:t>
      </w:r>
    </w:p>
    <w:p w14:paraId="3D668A0C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（4）控制项目风险： </w:t>
      </w:r>
    </w:p>
    <w:p w14:paraId="638875E0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提前识别技术、业务、组织等方面的风险，避免项目启动后因重大风险导致失败。</w:t>
      </w:r>
    </w:p>
    <w:p w14:paraId="707B9E9A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（5）资源合理配置：</w:t>
      </w:r>
    </w:p>
    <w:p w14:paraId="748076AE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在项目启动前明确投入产出、优先级，避免资源浪费在价值不明确或重复建设的项目上。</w:t>
      </w:r>
    </w:p>
    <w:p w14:paraId="3E9BEBF8"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 w14:paraId="4C45356E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3.（1）</w:t>
      </w:r>
      <w:r>
        <w:rPr>
          <w:rFonts w:hint="default"/>
          <w:sz w:val="28"/>
          <w:szCs w:val="28"/>
          <w:lang w:val="en-US" w:eastAsia="zh-CN"/>
        </w:rPr>
        <w:t>业务需求论证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 xml:space="preserve">  </w:t>
      </w:r>
    </w:p>
    <w:p w14:paraId="1863A169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明确业务痛点、需求范围、用户对象、预期使用场景，判断需求的真实性与完整性。</w:t>
      </w:r>
    </w:p>
    <w:p w14:paraId="78C0C0C5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</w:t>
      </w:r>
      <w:r>
        <w:rPr>
          <w:rFonts w:hint="default"/>
          <w:sz w:val="28"/>
          <w:szCs w:val="28"/>
          <w:lang w:val="en-US" w:eastAsia="zh-CN"/>
        </w:rPr>
        <w:t>技术可行性论证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 xml:space="preserve">  </w:t>
      </w:r>
    </w:p>
    <w:p w14:paraId="38567532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评估现有技术架构、系统集成能力、供应商产品成熟度、技术风险。</w:t>
      </w:r>
    </w:p>
    <w:p w14:paraId="26B41EB4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</w:t>
      </w:r>
      <w:r>
        <w:rPr>
          <w:rFonts w:hint="default"/>
          <w:sz w:val="28"/>
          <w:szCs w:val="28"/>
          <w:lang w:val="en-US" w:eastAsia="zh-CN"/>
        </w:rPr>
        <w:t>经济可行性论证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 xml:space="preserve">  </w:t>
      </w:r>
    </w:p>
    <w:p w14:paraId="41095EAD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进行投入产出分析，评估项目是否具备经济价值。</w:t>
      </w:r>
    </w:p>
    <w:p w14:paraId="5A6B4F74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</w:t>
      </w:r>
      <w:r>
        <w:rPr>
          <w:rFonts w:hint="default"/>
          <w:sz w:val="28"/>
          <w:szCs w:val="28"/>
          <w:lang w:val="en-US" w:eastAsia="zh-CN"/>
        </w:rPr>
        <w:t>组织与实施可行性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0897BE0E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评估业务部门配合度、组织变革影响、实施周期、资源保障等。</w:t>
      </w:r>
    </w:p>
    <w:p w14:paraId="3695C698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</w:t>
      </w:r>
      <w:r>
        <w:rPr>
          <w:rFonts w:hint="default"/>
          <w:sz w:val="28"/>
          <w:szCs w:val="28"/>
          <w:lang w:val="en-US" w:eastAsia="zh-CN"/>
        </w:rPr>
        <w:t>方案与选型准备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 w14:paraId="3FB56D75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明确项目是临时方案还是长期平台，是否纳入整体信息化规划，初步确定系统建设模式。</w:t>
      </w:r>
    </w:p>
    <w:p w14:paraId="5A2930D2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（6）</w:t>
      </w:r>
      <w:r>
        <w:rPr>
          <w:rFonts w:hint="default"/>
          <w:sz w:val="28"/>
          <w:szCs w:val="28"/>
          <w:lang w:val="en-US" w:eastAsia="zh-CN"/>
        </w:rPr>
        <w:t>风险评估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1202417C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识别项目可能存在的技术、管理、业务、安全等风险，并提出应对措施。</w:t>
      </w:r>
    </w:p>
    <w:p w14:paraId="3862C272"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 w14:paraId="5D4FC961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4.（1）为项目决策提供依据： </w:t>
      </w:r>
    </w:p>
    <w:p w14:paraId="1D341C31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帮助管理层判断项目是否值得投资、是否具备实施条件，避免盲目上马。</w:t>
      </w:r>
    </w:p>
    <w:p w14:paraId="1E3A2ED1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（2）明确项目边界与约束： </w:t>
      </w:r>
    </w:p>
    <w:p w14:paraId="724C7089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界定项目范围、资源、时间、成本等约束条件，为后续项目计划提供基础。</w:t>
      </w:r>
    </w:p>
    <w:p w14:paraId="18D43320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（3）识别关键风险与应对策略： </w:t>
      </w:r>
    </w:p>
    <w:p w14:paraId="24F3A62F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提前发现潜在问题，制定应对方案，提高项目成功率。</w:t>
      </w:r>
    </w:p>
    <w:p w14:paraId="2B5CCC5B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（4）统一干系人认识： </w:t>
      </w:r>
    </w:p>
    <w:p w14:paraId="08EF7F87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通过可行性分析过程，促使业务、技术、管理各方对项目目标、方案、风险形成共识。</w:t>
      </w:r>
    </w:p>
    <w:p w14:paraId="391507F0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（5）保障资源配置的合理性：</w:t>
      </w:r>
    </w:p>
    <w:p w14:paraId="59184B24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确保资源投向符合企业战略和业务优先级，防止重复建设和资源浪费。</w:t>
      </w:r>
    </w:p>
    <w:p w14:paraId="391CD6D7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C25AA"/>
    <w:rsid w:val="11E15703"/>
    <w:rsid w:val="16405504"/>
    <w:rsid w:val="1BF91245"/>
    <w:rsid w:val="7274626D"/>
    <w:rsid w:val="73C8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1083</Words>
  <Characters>1089</Characters>
  <Lines>0</Lines>
  <Paragraphs>0</Paragraphs>
  <TotalTime>60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2026-03-16T06:47:00Z</dcterms:created>
  <dc:creator>93412</dc:creator>
  <cp:lastModifiedBy>WPS_1687178579</cp:lastModifiedBy>
  <dcterms:modified xsi:type="dcterms:W3CDTF">2026-04-09T02:50:42Z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eyJoZGlkIjoiZjRiMzRmNjAwY2JkNGE3NGRjMzdjOGU4YjdmMGM2OWQiLCJ1c2VySWQiOiIxNTA1NTU3MzY1In0=</vt:lpwstr>
  </property>
  <property fmtid="{D5CDD505-2E9C-101B-9397-08002B2CF9AE}" pid="4" name="ICV">
    <vt:lpwstr>D237355275F845DB83A05250E0941CE3_12</vt:lpwstr>
  </property>
</Properties>
</file>