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9D31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</w:t>
      </w:r>
      <w:r>
        <w:rPr>
          <w:rFonts w:hint="eastAsia"/>
          <w:sz w:val="24"/>
          <w:szCs w:val="24"/>
          <w:lang w:val="en-US" w:eastAsia="zh-CN"/>
        </w:rPr>
        <w:tab/>
        <w:t>解耦部门编码与主键：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引入内部唯一标识（如自增ID）作为部门主键，部门编码改为业务属性，支持编码变更而不影响关联关系。</w:t>
      </w:r>
    </w:p>
    <w:p w14:paraId="41DBC4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设计部门版本管理：建立部门历史表，记录部门变更前后的编码、层级、时间戳等，业务数据通过“部门ID+生效时间”追踪归属变化。</w:t>
      </w:r>
    </w:p>
    <w:p w14:paraId="5EA6E2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抽离部门关系规则：将友好/互斥关系从硬编码改为数据驱动，通过配置表存储部门关系，并在权限控制中动态解析。</w:t>
      </w:r>
    </w:p>
    <w:p w14:paraId="0E79FA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重构业务逻辑判断：将依赖具体编码的流程改为基于部门属性（类型、层级、标签）或策略模式，避免编码硬编码。</w:t>
      </w:r>
    </w:p>
    <w:p w14:paraId="5FB528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设计适配层：为旧数据提供编码映射转换服务，确保数据升级时不丢失且可回溯。</w:t>
      </w:r>
    </w:p>
    <w:p w14:paraId="2E7D4F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预留扩展接口：支持未来组织结构调整时，通过配置而非修改代码实现。</w:t>
      </w:r>
    </w:p>
    <w:p w14:paraId="2AA5A8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</w:p>
    <w:p w14:paraId="43207D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2.软件工程方面：</w:t>
      </w:r>
    </w:p>
    <w:p w14:paraId="0A94C6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采用重构与设计模式（如策略模式处理部门关系、适配器模式处理编码映射）。</w:t>
      </w:r>
    </w:p>
    <w:p w14:paraId="3F1937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引入数据库版本管理（如Flyway）和数据迁移脚本，保证结构变更可回滚。</w:t>
      </w:r>
    </w:p>
    <w:p w14:paraId="0EC960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编写单元测试和集成测试，重点覆盖部门关系、历史追踪、编码转换逻辑。</w:t>
      </w:r>
    </w:p>
    <w:p w14:paraId="6117AF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进行设计评审和代码走查，确保解耦和扩展性。</w:t>
      </w:r>
    </w:p>
    <w:p w14:paraId="3471E6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项目管理方面：</w:t>
      </w:r>
    </w:p>
    <w:p w14:paraId="6FD20A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制定质量计划，明确关键质量目标（数据不丢失、历史可追溯、编码可变更）。</w:t>
      </w:r>
    </w:p>
    <w:p w14:paraId="323CE9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采用迭代开发与原型验证，先解决核心风险（编码解耦、关系配置化）。</w:t>
      </w:r>
    </w:p>
    <w:p w14:paraId="3B4DCC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建立测试准入、准出标准，对历史数据迁移进行全量验证。</w:t>
      </w:r>
    </w:p>
    <w:p w14:paraId="29E91C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加强配置管理和变更控制，防止范围蔓延影响设计质量。</w:t>
      </w:r>
    </w:p>
    <w:p w14:paraId="13EAF4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定期开展技术风险评估，重点关注遗留系统硬编码改造的回归风险。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9D5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2026-05-07T03:59:06Z</dcterms:created>
  <dc:creator>93412</dc:creator>
  <cp:lastModifiedBy>WPS_1687178579</cp:lastModifiedBy>
  <dcterms:modified xsi:type="dcterms:W3CDTF">2026-05-07T04:00:52Z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eyJoZGlkIjoiZjRiMzRmNjAwY2JkNGE3NGRjMzdjOGU4YjdmMGM2OWQiLCJ1c2VySWQiOiIxNTA1NTU3MzY1In0=</vt:lpwstr>
  </property>
  <property fmtid="{D5CDD505-2E9C-101B-9397-08002B2CF9AE}" pid="4" name="ICV">
    <vt:lpwstr>1AC0CE1A9AC84041AFA86B71181EBF45_12</vt:lpwstr>
  </property>
</Properties>
</file>