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44"/>
        </w:rPr>
        <w:t>屏幕识别配音助手</w:t>
      </w:r>
    </w:p>
    <w:p>
      <w:pPr>
        <w:jc w:val="center"/>
      </w:pPr>
      <w:r>
        <w:rPr>
          <w:b/>
          <w:color w:val="2E75B6"/>
          <w:sz w:val="36"/>
        </w:rPr>
        <w:t>项目风险管理计划</w:t>
      </w:r>
    </w:p>
    <w:p/>
    <w:p>
      <w:pPr>
        <w:jc w:val="center"/>
      </w:pPr>
      <w:r>
        <w:rPr>
          <w:sz w:val="24"/>
        </w:rPr>
        <w:t>团队名称：骰子队</w:t>
      </w:r>
    </w:p>
    <w:p>
      <w:pPr>
        <w:jc w:val="center"/>
      </w:pPr>
      <w:r>
        <w:rPr>
          <w:sz w:val="24"/>
        </w:rPr>
        <w:t>项目成员：马鑫  刘宇轩  梁艺馨  杨子祺  王婧晋</w:t>
      </w:r>
    </w:p>
    <w:p>
      <w:pPr>
        <w:jc w:val="center"/>
      </w:pPr>
      <w:r>
        <w:rPr>
          <w:sz w:val="24"/>
        </w:rPr>
        <w:t>课程：IT项目管理</w:t>
      </w:r>
    </w:p>
    <w:p>
      <w:pPr>
        <w:jc w:val="center"/>
      </w:pPr>
      <w:r>
        <w:rPr>
          <w:sz w:val="24"/>
        </w:rPr>
        <w:t>实验编号：Lab5</w:t>
      </w:r>
    </w:p>
    <w:p>
      <w:pPr>
        <w:jc w:val="center"/>
      </w:pPr>
      <w:r>
        <w:rPr>
          <w:sz w:val="24"/>
        </w:rPr>
        <w:t>编制日期：2026年5月20日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目  录</w:t>
      </w:r>
    </w:p>
    <w:p>
      <w:pPr>
        <w:ind w:left="0"/>
      </w:pPr>
      <w:r>
        <w:rPr>
          <w:sz w:val="21"/>
        </w:rPr>
        <w:t>一、风险管理计划概述</w:t>
      </w:r>
    </w:p>
    <w:p>
      <w:pPr>
        <w:ind w:left="567"/>
      </w:pPr>
      <w:r>
        <w:rPr>
          <w:sz w:val="21"/>
        </w:rPr>
        <w:t xml:space="preserve">    1.1 文档说明</w:t>
      </w:r>
    </w:p>
    <w:p>
      <w:pPr>
        <w:ind w:left="567"/>
      </w:pPr>
      <w:r>
        <w:rPr>
          <w:sz w:val="21"/>
        </w:rPr>
        <w:t xml:space="preserve">    1.2 项目简介</w:t>
      </w:r>
    </w:p>
    <w:p>
      <w:pPr>
        <w:ind w:left="567"/>
      </w:pPr>
      <w:r>
        <w:rPr>
          <w:sz w:val="21"/>
        </w:rPr>
        <w:t xml:space="preserve">    1.3 风险管理方法与工具</w:t>
      </w:r>
    </w:p>
    <w:p>
      <w:pPr>
        <w:ind w:left="567"/>
      </w:pPr>
      <w:r>
        <w:rPr>
          <w:sz w:val="21"/>
        </w:rPr>
        <w:t xml:space="preserve">    1.4 角色与职责</w:t>
      </w:r>
    </w:p>
    <w:p>
      <w:pPr>
        <w:ind w:left="567"/>
      </w:pPr>
      <w:r>
        <w:rPr>
          <w:sz w:val="21"/>
        </w:rPr>
        <w:t xml:space="preserve">    1.5 风险管理时间安排</w:t>
      </w:r>
    </w:p>
    <w:p>
      <w:pPr>
        <w:ind w:left="0"/>
      </w:pPr>
      <w:r>
        <w:rPr>
          <w:sz w:val="21"/>
        </w:rPr>
        <w:t>二、风险识别</w:t>
      </w:r>
    </w:p>
    <w:p>
      <w:pPr>
        <w:ind w:left="567"/>
      </w:pPr>
      <w:r>
        <w:rPr>
          <w:sz w:val="21"/>
        </w:rPr>
        <w:t xml:space="preserve">    2.1 风险识别方法</w:t>
      </w:r>
    </w:p>
    <w:p>
      <w:pPr>
        <w:ind w:left="567"/>
      </w:pPr>
      <w:r>
        <w:rPr>
          <w:sz w:val="21"/>
        </w:rPr>
        <w:t xml:space="preserve">    2.2 风险源分析</w:t>
      </w:r>
    </w:p>
    <w:p>
      <w:pPr>
        <w:ind w:left="567"/>
      </w:pPr>
      <w:r>
        <w:rPr>
          <w:sz w:val="21"/>
        </w:rPr>
        <w:t xml:space="preserve">    2.3 风险登记册</w:t>
      </w:r>
    </w:p>
    <w:p>
      <w:pPr>
        <w:ind w:left="0"/>
      </w:pPr>
      <w:r>
        <w:rPr>
          <w:sz w:val="21"/>
        </w:rPr>
        <w:t>三、风险定性分析</w:t>
      </w:r>
    </w:p>
    <w:p>
      <w:pPr>
        <w:ind w:left="567"/>
      </w:pPr>
      <w:r>
        <w:rPr>
          <w:sz w:val="21"/>
        </w:rPr>
        <w:t xml:space="preserve">    3.1 风险概率-影响矩阵</w:t>
      </w:r>
    </w:p>
    <w:p>
      <w:pPr>
        <w:ind w:left="567"/>
      </w:pPr>
      <w:r>
        <w:rPr>
          <w:sz w:val="21"/>
        </w:rPr>
        <w:t xml:space="preserve">    3.2 风险优先级排序</w:t>
      </w:r>
    </w:p>
    <w:p>
      <w:pPr>
        <w:ind w:left="0"/>
      </w:pPr>
      <w:r>
        <w:rPr>
          <w:sz w:val="21"/>
        </w:rPr>
        <w:t>四、风险定量分析</w:t>
      </w:r>
    </w:p>
    <w:p>
      <w:pPr>
        <w:ind w:left="567"/>
      </w:pPr>
      <w:r>
        <w:rPr>
          <w:sz w:val="21"/>
        </w:rPr>
        <w:t xml:space="preserve">    4.1 定量方法说明</w:t>
      </w:r>
    </w:p>
    <w:p>
      <w:pPr>
        <w:ind w:left="567"/>
      </w:pPr>
      <w:r>
        <w:rPr>
          <w:sz w:val="21"/>
        </w:rPr>
        <w:t xml:space="preserve">    4.2 风险综合评分</w:t>
      </w:r>
    </w:p>
    <w:p>
      <w:pPr>
        <w:ind w:left="567"/>
      </w:pPr>
      <w:r>
        <w:rPr>
          <w:sz w:val="21"/>
        </w:rPr>
        <w:t xml:space="preserve">    4.3 决策树分析</w:t>
      </w:r>
    </w:p>
    <w:p>
      <w:pPr>
        <w:ind w:left="567"/>
      </w:pPr>
      <w:r>
        <w:rPr>
          <w:sz w:val="21"/>
        </w:rPr>
        <w:t xml:space="preserve">    4.4 蒙特卡洛模拟（项目进度风险）</w:t>
      </w:r>
    </w:p>
    <w:p>
      <w:pPr>
        <w:ind w:left="0"/>
      </w:pPr>
      <w:r>
        <w:rPr>
          <w:sz w:val="21"/>
        </w:rPr>
        <w:t>五、风险应对计划</w:t>
      </w:r>
    </w:p>
    <w:p>
      <w:pPr>
        <w:ind w:left="567"/>
      </w:pPr>
      <w:r>
        <w:rPr>
          <w:sz w:val="21"/>
        </w:rPr>
        <w:t xml:space="preserve">    5.1 应对策略总表</w:t>
      </w:r>
    </w:p>
    <w:p>
      <w:pPr>
        <w:ind w:left="567"/>
      </w:pPr>
      <w:r>
        <w:rPr>
          <w:sz w:val="21"/>
        </w:rPr>
        <w:t xml:space="preserve">    5.2 高优先级风险详细应对方案</w:t>
      </w:r>
    </w:p>
    <w:p>
      <w:pPr>
        <w:ind w:left="567"/>
      </w:pPr>
      <w:r>
        <w:rPr>
          <w:sz w:val="21"/>
        </w:rPr>
        <w:t xml:space="preserve">    5.3 风险储备金预算</w:t>
      </w:r>
    </w:p>
    <w:p>
      <w:pPr>
        <w:ind w:left="0"/>
      </w:pPr>
      <w:r>
        <w:rPr>
          <w:sz w:val="21"/>
        </w:rPr>
        <w:t>六、风险监控计划</w:t>
      </w:r>
    </w:p>
    <w:p>
      <w:pPr>
        <w:ind w:left="0"/>
      </w:pPr>
      <w:r>
        <w:rPr>
          <w:sz w:val="21"/>
        </w:rPr>
        <w:t>七、附录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一、风险管理计划概述</w:t>
      </w:r>
    </w:p>
    <w:p>
      <w:pPr>
        <w:pStyle w:val="Heading2"/>
        <w:jc w:val="left"/>
      </w:pPr>
      <w:r>
        <w:rPr>
          <w:color w:val="1F3864"/>
        </w:rPr>
        <w:t>1.1 文档说明</w:t>
      </w:r>
    </w:p>
    <w:p>
      <w:r>
        <w:rPr>
          <w:b w:val="0"/>
          <w:sz w:val="21"/>
        </w:rPr>
        <w:t>本文档是"屏幕识别配音助手"项目（骰子队 · IT项目管理课程实验五）的风险管理计划，依据PMBOK第六版风险管理知识域框架编制，涵盖风险识别、定性与定量分析、应对规划及监控等完整流程，旨在为项目团队提供系统化的风险管理指导，确保项目在既定时间（2026年4月18日—5月13日，共26天）内按质完成交付。</w:t>
      </w:r>
    </w:p>
    <w:p>
      <w:pPr>
        <w:pStyle w:val="Heading2"/>
        <w:jc w:val="left"/>
      </w:pPr>
      <w:r>
        <w:rPr>
          <w:color w:val="1F3864"/>
        </w:rPr>
        <w:t>1.2 项目简介</w:t>
      </w:r>
    </w:p>
    <w:p>
      <w:pPr>
        <w:ind w:left="0"/>
      </w:pPr>
      <w:r>
        <w:rPr>
          <w:b/>
        </w:rPr>
        <w:t>项目背景：</w:t>
      </w:r>
      <w:r>
        <w:t>有声阅读市场规模超70亿美元，国内盲人游戏玩家占比25%-30%，游戏无障碍需求旺盛。</w:t>
      </w:r>
    </w:p>
    <w:p>
      <w:r>
        <w:rPr>
          <w:b/>
        </w:rPr>
        <w:t>项目目标：</w:t>
      </w:r>
      <w:r>
        <w:t>打造便携、本地优先、低延迟的屏幕文本实时配音工具，面向电子书阅读、游戏娱乐、无障碍使用场景，通过屏幕OCR识别与多模型TTS合成，为用户提供高度自定义的听觉阅读与游戏陪伴体验。</w:t>
      </w:r>
    </w:p>
    <w:p>
      <w:r>
        <w:rPr>
          <w:b/>
        </w:rPr>
        <w:t>核心功能模块：</w:t>
      </w:r>
    </w:p>
    <w:p>
      <w:pPr>
        <w:ind w:left="420"/>
      </w:pPr>
      <w:r>
        <w:rPr>
          <w:b w:val="0"/>
          <w:sz w:val="21"/>
        </w:rPr>
        <w:t>· 屏幕识别模块（OCR）</w:t>
      </w:r>
    </w:p>
    <w:p>
      <w:pPr>
        <w:ind w:left="420"/>
      </w:pPr>
      <w:r>
        <w:rPr>
          <w:b w:val="0"/>
          <w:sz w:val="21"/>
        </w:rPr>
        <w:t>· 文本转音频模块（TTS：INDEX-TTS/Qwen3-TTS/GPT-SOVIT）</w:t>
      </w:r>
    </w:p>
    <w:p>
      <w:pPr>
        <w:ind w:left="420"/>
      </w:pPr>
      <w:r>
        <w:rPr>
          <w:b w:val="0"/>
          <w:sz w:val="21"/>
        </w:rPr>
        <w:t>· 智能回复与陪伴模块（大模型接入）</w:t>
      </w:r>
    </w:p>
    <w:p>
      <w:pPr>
        <w:ind w:left="420"/>
      </w:pPr>
      <w:r>
        <w:rPr>
          <w:b w:val="0"/>
          <w:sz w:val="21"/>
        </w:rPr>
        <w:t>· 前端页面模块（四大设置页）</w:t>
      </w:r>
    </w:p>
    <w:p>
      <w:r>
        <w:rPr>
          <w:b/>
        </w:rPr>
        <w:t>关键约束：</w:t>
      </w:r>
      <w:r>
        <w:t>项目周期26天，预算≤100元（主要为API调用费），团队5人，采用本地部署方式，目标平台Windows 11。</w:t>
      </w:r>
    </w:p>
    <w:p>
      <w:pPr>
        <w:pStyle w:val="Heading2"/>
        <w:jc w:val="left"/>
      </w:pPr>
      <w:r>
        <w:rPr>
          <w:color w:val="1F3864"/>
        </w:rPr>
        <w:t>1.3 风险管理方法与工具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风险管理活动</w:t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方法/工具</w:t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风险识别</w:t>
            </w:r>
          </w:p>
        </w:tc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头脑风暴法</w:t>
              <w:br/>
              <w:t>鱼骨图（因果图）</w:t>
              <w:br/>
              <w:t>核查表法</w:t>
            </w:r>
          </w:p>
        </w:tc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团队集体讨论，参考lab3拖延风险识别结果，结合技术特征系统梳理</w:t>
            </w:r>
          </w:p>
        </w:tc>
      </w:tr>
      <w:tr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定性分析</w:t>
            </w:r>
          </w:p>
        </w:tc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概率-影响矩阵</w:t>
              <w:br/>
              <w:t>风险优先级评分</w:t>
            </w:r>
          </w:p>
        </w:tc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用5×3矩阵对每项风险打分，划定高/中/低优先级</w:t>
            </w:r>
          </w:p>
        </w:tc>
      </w:tr>
      <w:tr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定量分析</w:t>
            </w:r>
          </w:p>
        </w:tc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EMV期望货币价值</w:t>
              <w:br/>
              <w:t>决策树分析</w:t>
              <w:br/>
              <w:t>蒙特卡洛模拟（进度风险）</w:t>
              <w:br/>
              <w:t>敏感性分析</w:t>
            </w:r>
          </w:p>
        </w:tc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对高优先级风险进行数值量化，为储备金预算和关键路径提供依据</w:t>
            </w:r>
          </w:p>
        </w:tc>
      </w:tr>
      <w:tr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应对规划</w:t>
            </w:r>
          </w:p>
        </w:tc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应对策略矩阵</w:t>
              <w:br/>
              <w:t>应急响应计划</w:t>
            </w:r>
          </w:p>
        </w:tc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针对每项风险制定规避/转移/减轻/接受策略，明确责任人和触发条件</w:t>
            </w:r>
          </w:p>
        </w:tc>
      </w:tr>
      <w:tr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风险监控</w:t>
            </w:r>
          </w:p>
        </w:tc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风险审查会议</w:t>
              <w:br/>
              <w:t>偏差分析</w:t>
              <w:br/>
              <w:t>风险再评估</w:t>
            </w:r>
          </w:p>
        </w:tc>
        <w:tc>
          <w:tcPr>
            <w:tcW w:type="dxa" w:w="3024"/>
          </w:tcPr>
          <w:p>
            <w:pPr>
              <w:ind w:left="113"/>
            </w:pPr>
            <w:r/>
            <w:r>
              <w:rPr>
                <w:sz w:val="19"/>
              </w:rPr>
              <w:t>项目期间每周定期审查，关键里程碑前强制审查</w:t>
            </w:r>
          </w:p>
        </w:tc>
      </w:tr>
    </w:tbl>
    <w:p>
      <w:pPr>
        <w:pStyle w:val="Heading2"/>
        <w:jc w:val="left"/>
      </w:pPr>
      <w:r>
        <w:rPr>
          <w:color w:val="1F3864"/>
        </w:rPr>
        <w:t>1.4 角色与职责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风险管理职责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负责风险类型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项目经理 / 风险负责人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马鑫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统筹风险管理全流程，主持风险评审会议，批准应对预算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全部风险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技术开发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马鑫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TTS模块技术风险排查与应对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技术风险（TTS/集成）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前端开发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刘宇轩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前端界面及前后端集成风险排查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技术风险（前端）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AI/模型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梁艺馨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大模型接入与兼容性风险排查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技术风险（AI模型）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屏幕识别开发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杨子祺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OCR模块精度与性能风险排查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技术风险（OCR）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屏幕识别开发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王婧晋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屏幕捕获稳定性风险排查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技术风险（屏幕捕获）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全体成员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全体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日常风险观测，上报新风险，参与风险审查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进度/资源/质量风险</w:t>
            </w:r>
          </w:p>
        </w:tc>
      </w:tr>
    </w:tbl>
    <w:p>
      <w:pPr>
        <w:pStyle w:val="Heading2"/>
        <w:jc w:val="left"/>
      </w:pPr>
      <w:r>
        <w:rPr>
          <w:color w:val="1F3864"/>
        </w:rPr>
        <w:t>1.5 风险管理时间安排</w:t>
      </w:r>
    </w:p>
    <w:p>
      <w:r>
        <w:rPr>
          <w:b w:val="0"/>
          <w:sz w:val="21"/>
        </w:rPr>
        <w:t>风险管理活动贯穿项目全程，关键时间节点如下：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活动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持续时间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初始风险识别与分析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项目第1-3天（4.18-4.20）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团队头脑风暴，完成风险登记册初版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应对计划制定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第3-6天（4.20-4.23）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完成风险应对矩阵，分配责任人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技术预研（高风险）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第3-8天（4.20-4.25）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6天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OCR/TTS/大模型兼容性验证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第一次风险审查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第7-8天（4.24-4.25）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结合需求分析完成情况，更新风险状态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持续风险监控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第4-26天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全程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发现新风险即时上报，每周例会审查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第二次风险审查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第13-14天（5.1-5.2）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各模块开发中期检查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第三次风险审查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第20-21天（5.8-5.9）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系统集成阶段风险重评估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项目结束评审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第25-26天（5.12-5.13）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总结风险管理经验，形成风险报告</w:t>
            </w:r>
          </w:p>
        </w:tc>
      </w:tr>
    </w:tbl>
    <w:p>
      <w:r>
        <w:rPr>
          <w:b w:val="0"/>
          <w:sz w:val="21"/>
        </w:rPr>
        <w:t>图1：风险管理活动时间计划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60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二、风险识别</w:t>
      </w:r>
    </w:p>
    <w:p>
      <w:pPr>
        <w:pStyle w:val="Heading2"/>
        <w:jc w:val="left"/>
      </w:pPr>
      <w:r>
        <w:rPr>
          <w:color w:val="1F3864"/>
        </w:rPr>
        <w:t>2.1 风险识别方法</w:t>
      </w:r>
    </w:p>
    <w:p>
      <w:pPr>
        <w:ind w:left="283"/>
      </w:pPr>
      <w:r>
        <w:rPr>
          <w:b/>
          <w:color w:val="2E75B6"/>
        </w:rPr>
        <w:t xml:space="preserve">【头脑风暴法】 </w:t>
      </w:r>
      <w:r>
        <w:rPr>
          <w:sz w:val="20"/>
        </w:rPr>
        <w:t>团队5名成员集体讨论，结合lab3已识别的拖延原因（人员、技术、资源、需求、管理、环境、集成7类）进行拓展，形成初始风险清单。</w:t>
      </w:r>
    </w:p>
    <w:p>
      <w:pPr>
        <w:ind w:left="283"/>
      </w:pPr>
      <w:r>
        <w:rPr>
          <w:b/>
          <w:color w:val="2E75B6"/>
        </w:rPr>
        <w:t xml:space="preserve">【鱼骨图（因果分析）】 </w:t>
      </w:r>
      <w:r>
        <w:rPr>
          <w:sz w:val="20"/>
        </w:rPr>
        <w:t>以"项目失败/超期/质量不达标"为鱼头，分析技术、进度、资源、需求、质量、外部六大类风险来源。</w:t>
      </w:r>
    </w:p>
    <w:p>
      <w:pPr>
        <w:ind w:left="283"/>
      </w:pPr>
      <w:r>
        <w:rPr>
          <w:b/>
          <w:color w:val="2E75B6"/>
        </w:rPr>
        <w:t xml:space="preserve">【核查表法】 </w:t>
      </w:r>
      <w:r>
        <w:rPr>
          <w:sz w:val="20"/>
        </w:rPr>
        <w:t>参照IT软件项目常见风险核查表，逐项对照本项目特征（本地部署、AI模型集成、5人小团队、26天短周期），识别适用风险。</w:t>
      </w:r>
    </w:p>
    <w:p>
      <w:pPr>
        <w:ind w:left="283"/>
      </w:pPr>
      <w:r>
        <w:rPr>
          <w:b/>
          <w:color w:val="2E75B6"/>
        </w:rPr>
        <w:t xml:space="preserve">【专家访谈/文档回顾】 </w:t>
      </w:r>
      <w:r>
        <w:rPr>
          <w:sz w:val="20"/>
        </w:rPr>
        <w:t>回顾lab1-lab4形成的项目文档（建议书、可行性分析、WBS、时间计划、质量计划），提炼已记录的潜在风险点。</w:t>
      </w:r>
    </w:p>
    <w:p>
      <w:pPr>
        <w:pStyle w:val="Heading2"/>
        <w:jc w:val="left"/>
      </w:pPr>
      <w:r>
        <w:rPr>
          <w:color w:val="1F3864"/>
        </w:rPr>
        <w:t>2.2 风险源分析（鱼骨图）</w:t>
      </w:r>
    </w:p>
    <w:p>
      <w:r>
        <w:rPr>
          <w:b w:val="0"/>
          <w:sz w:val="21"/>
        </w:rPr>
        <w:t>下图为本项目风险因果鱼骨图，以"项目风险（超期/质量不达标/功能缺失）"为结果，从技术、进度、资源、需求、质量、外部六个维度梳理风险来源：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75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图2：项目风险鱼骨图（因果分析）</w:t>
      </w:r>
    </w:p>
    <w:p>
      <w:r>
        <w:rPr>
          <w:b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892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2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图3：项目风险来源分布（技术风险占比最高，达35%）</w:t>
      </w:r>
    </w:p>
    <w:p>
      <w:pPr>
        <w:pStyle w:val="Heading2"/>
        <w:jc w:val="left"/>
      </w:pPr>
      <w:r>
        <w:rPr>
          <w:color w:val="1F3864"/>
        </w:rPr>
        <w:t>2.3 风险登记册</w:t>
      </w:r>
    </w:p>
    <w:p>
      <w:r>
        <w:rPr>
          <w:b w:val="0"/>
          <w:sz w:val="21"/>
        </w:rPr>
        <w:t>下表为经团队识别确认的完整风险登记册（共识别10项主要风险）：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风险ID</w:t>
            </w:r>
          </w:p>
        </w:tc>
        <w:tc>
          <w:tcPr>
            <w:tcW w:type="dxa" w:w="151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风险名称</w:t>
            </w:r>
          </w:p>
        </w:tc>
        <w:tc>
          <w:tcPr>
            <w:tcW w:type="dxa" w:w="151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风险类别</w:t>
            </w:r>
          </w:p>
        </w:tc>
        <w:tc>
          <w:tcPr>
            <w:tcW w:type="dxa" w:w="151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151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潜在影响</w:t>
            </w:r>
          </w:p>
        </w:tc>
        <w:tc>
          <w:tcPr>
            <w:tcW w:type="dxa" w:w="151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识别来源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R1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OCR识别准确率不足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技术风险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针对游戏界面、动态文本、复杂背景，OCR引擎可能误识别或漏识别，导致配音内容错误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用户体验差，功能核心指标（≥90%准确率）无法达标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技术可行性分析/质量计划</w:t>
            </w:r>
          </w:p>
        </w:tc>
      </w:tr>
      <w:tr>
        <w:tc>
          <w:tcPr>
            <w:tcW w:type="dxa" w:w="1512"/>
            <w:shd w:val="clear" w:color="auto" w:fill="F2F7FF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R2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TTS语音延迟过高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技术风险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Qwen3-TTS、INDEX-TTS等模型本地推理或API调用延迟超过5秒，影响实时配音体验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质量目标（TTS延迟≤5s）无法达标，核心功能受损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质量计划/技术路线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R3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API调用额度耗尽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资源风险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大模型API（DeepSeek、阿里云）在开发测试阶段消耗过快，超出预算或免费额度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开发进度暂停，需追加预算（原预算≤100元）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经济可行性分析</w:t>
            </w:r>
          </w:p>
        </w:tc>
      </w:tr>
      <w:tr>
        <w:tc>
          <w:tcPr>
            <w:tcW w:type="dxa" w:w="1512"/>
            <w:shd w:val="clear" w:color="auto" w:fill="F2F7FF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R4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AI模型兼容性差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技术风险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多个TTS/LLM模型（INDEX-TTS、Qwen3-TTS、GPT-SOVIT）与项目环境（Windows 11/Python）存在依赖冲突或接口不兼容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技术方案被迫变更，工期延误，可能影响关键路径（26天）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lab3时间计划/技术选型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R5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人员技术不熟练导致进度延迟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进度风险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团队成员对OCR/TTS模型集成、前后端接入等技术栈不够熟练，导致单任务完工时间超出估算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项目关键路径延长，整体交付时间推迟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lab3鱼骨图</w:t>
            </w:r>
          </w:p>
        </w:tc>
      </w:tr>
      <w:tr>
        <w:tc>
          <w:tcPr>
            <w:tcW w:type="dxa" w:w="1512"/>
            <w:shd w:val="clear" w:color="auto" w:fill="F2F7FF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R6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需求临时变更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需求风险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来自课程教师评审、用户测试反馈或团队内部讨论，导致功能范围扩大或调整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已完成模块返工，增加工作量，影响进度和质量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可行性分析/用户画像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R7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本地设备算力不足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资源风险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成员电脑GPU/CPU性能不足以运行本地TTS模型（如GPT-SOVIT），导致推理速度过慢或无法运行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功能降级，只能使用API模式，增加成本或依赖网络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lab4质量计划/资源约束</w:t>
            </w:r>
          </w:p>
        </w:tc>
      </w:tr>
      <w:tr>
        <w:tc>
          <w:tcPr>
            <w:tcW w:type="dxa" w:w="1512"/>
            <w:shd w:val="clear" w:color="auto" w:fill="F2F7FF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R8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数据隐私与安全风险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外部风险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屏幕识别功能可能捕获用户隐私内容，特别是在使用API模式时上传至云端，存在隐私泄露隐患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用户信任度下降，合规性问题，影响推广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利益相关者分析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R9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前端兼容性问题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技术风险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前端GUI框架在不同Windows版本或分辨率下显示异常，影响操作体验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用户界面功能受损，需额外测试和修复时间</w:t>
            </w:r>
          </w:p>
        </w:tc>
        <w:tc>
          <w:tcPr>
            <w:tcW w:type="dxa" w:w="1512"/>
            <w:shd w:val="clear" w:color="auto" w:fill="FFFFFF"/>
          </w:tcPr>
          <w:p>
            <w:r/>
            <w:r>
              <w:rPr>
                <w:sz w:val="18"/>
              </w:rPr>
              <w:t>技术选型/质量计划</w:t>
            </w:r>
          </w:p>
        </w:tc>
      </w:tr>
      <w:tr>
        <w:tc>
          <w:tcPr>
            <w:tcW w:type="dxa" w:w="1512"/>
            <w:shd w:val="clear" w:color="auto" w:fill="F2F7FF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R10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多模块集成联调失败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技术风险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屏幕识别→TTS→大模型→前端四大模块在系统集成阶段出现接口不匹配、数据格式冲突、时序问题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系统集成阶段（任务G）延误，影响后续测试，威胁关键路径</w:t>
            </w:r>
          </w:p>
        </w:tc>
        <w:tc>
          <w:tcPr>
            <w:tcW w:type="dxa" w:w="1512"/>
            <w:shd w:val="clear" w:color="auto" w:fill="F2F7FF"/>
          </w:tcPr>
          <w:p>
            <w:r/>
            <w:r>
              <w:rPr>
                <w:sz w:val="18"/>
              </w:rPr>
              <w:t>WBS/lab3时间计划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三、风险定性分析</w:t>
      </w:r>
    </w:p>
    <w:p>
      <w:pPr>
        <w:pStyle w:val="Heading2"/>
        <w:jc w:val="left"/>
      </w:pPr>
      <w:r>
        <w:rPr>
          <w:color w:val="1F3864"/>
        </w:rPr>
        <w:t>3.1 风险概率-影响矩阵</w:t>
      </w:r>
    </w:p>
    <w:p>
      <w:r>
        <w:rPr>
          <w:b w:val="0"/>
          <w:sz w:val="21"/>
        </w:rPr>
        <w:t>采用5×3概率-影响矩阵对各风险进行定性评估。概率分为5级（0.1/0.3/0.5/0.7/0.9），影响分为3级（低0.05/中0.1/高0.2），风险评分 = 概率 × 影响。</w:t>
      </w:r>
    </w:p>
    <w:p>
      <w:r>
        <w:rPr>
          <w:b w:val="0"/>
          <w:sz w:val="21"/>
        </w:rPr>
        <w:t>· 高风险（红色）：评分 ≥ 0.14，需立即制定应对措施</w:t>
      </w:r>
    </w:p>
    <w:p>
      <w:r>
        <w:rPr>
          <w:b w:val="0"/>
          <w:sz w:val="21"/>
        </w:rPr>
        <w:t>· 中等风险（黄色）：0.05 ≤ 评分 &lt; 0.14，需规划应对措施</w:t>
      </w:r>
    </w:p>
    <w:p>
      <w:r>
        <w:rPr>
          <w:b w:val="0"/>
          <w:sz w:val="21"/>
        </w:rPr>
        <w:t>· 低风险（浅绿）：评分 &lt; 0.05，持续监控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49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图4：风险概率-影响矩阵（R1-R10分布）</w:t>
      </w:r>
    </w:p>
    <w:p>
      <w:pPr>
        <w:pStyle w:val="Heading2"/>
        <w:jc w:val="left"/>
      </w:pPr>
      <w:r>
        <w:rPr>
          <w:color w:val="1F3864"/>
        </w:rPr>
        <w:t>3.2 风险优先级排序</w:t>
      </w:r>
    </w:p>
    <w:p>
      <w:r>
        <w:rPr>
          <w:b w:val="0"/>
          <w:sz w:val="21"/>
        </w:rPr>
        <w:t>基于概率-影响矩阵评分，完整的定性分析结果如下表：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风险ID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风险名称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发生概率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影响程度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风险评分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优先级依据</w:t>
            </w:r>
          </w:p>
        </w:tc>
      </w:tr>
      <w:tr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b/>
                <w:sz w:val="18"/>
              </w:rPr>
              <w:t>R4</w:t>
            </w:r>
          </w:p>
        </w:tc>
        <w:tc>
          <w:tcPr>
            <w:tcW w:type="dxa" w:w="1296"/>
            <w:shd w:val="clear" w:color="auto" w:fill="FFCCCC"/>
          </w:tcPr>
          <w:p>
            <w:r/>
            <w:r>
              <w:rPr>
                <w:sz w:val="18"/>
              </w:rPr>
              <w:t>AI模型兼容性差</w:t>
            </w:r>
          </w:p>
        </w:tc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sz w:val="18"/>
              </w:rPr>
              <w:t>很高(0.9)</w:t>
            </w:r>
          </w:p>
        </w:tc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sz w:val="18"/>
              </w:rPr>
              <w:t>高(0.2)</w:t>
            </w:r>
          </w:p>
        </w:tc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sz w:val="18"/>
              </w:rPr>
              <w:t>0.180</w:t>
            </w:r>
          </w:p>
        </w:tc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sz w:val="18"/>
              </w:rPr>
              <w:t>★★★ 高</w:t>
            </w:r>
          </w:p>
        </w:tc>
        <w:tc>
          <w:tcPr>
            <w:tcW w:type="dxa" w:w="1296"/>
            <w:shd w:val="clear" w:color="auto" w:fill="FFCCCC"/>
          </w:tcPr>
          <w:p>
            <w:r/>
            <w:r>
              <w:rPr>
                <w:sz w:val="18"/>
              </w:rPr>
              <w:t>直接威胁关键路径，影响所有技术模块</w:t>
            </w:r>
          </w:p>
        </w:tc>
      </w:tr>
      <w:tr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b/>
                <w:sz w:val="18"/>
              </w:rPr>
              <w:t>R1</w:t>
            </w:r>
          </w:p>
        </w:tc>
        <w:tc>
          <w:tcPr>
            <w:tcW w:type="dxa" w:w="1296"/>
            <w:shd w:val="clear" w:color="auto" w:fill="FFCCCC"/>
          </w:tcPr>
          <w:p>
            <w:r/>
            <w:r>
              <w:rPr>
                <w:sz w:val="18"/>
              </w:rPr>
              <w:t>OCR识别准确率不足</w:t>
            </w:r>
          </w:p>
        </w:tc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sz w:val="18"/>
              </w:rPr>
              <w:t>高(0.7)</w:t>
            </w:r>
          </w:p>
        </w:tc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sz w:val="18"/>
              </w:rPr>
              <w:t>高(0.2)</w:t>
            </w:r>
          </w:p>
        </w:tc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sz w:val="18"/>
              </w:rPr>
              <w:t>0.140</w:t>
            </w:r>
          </w:p>
        </w:tc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sz w:val="18"/>
              </w:rPr>
              <w:t>★★★ 高</w:t>
            </w:r>
          </w:p>
        </w:tc>
        <w:tc>
          <w:tcPr>
            <w:tcW w:type="dxa" w:w="1296"/>
            <w:shd w:val="clear" w:color="auto" w:fill="FFCCCC"/>
          </w:tcPr>
          <w:p>
            <w:r/>
            <w:r>
              <w:rPr>
                <w:sz w:val="18"/>
              </w:rPr>
              <w:t>核心功能指标，直接影响产品可用性</w:t>
            </w:r>
          </w:p>
        </w:tc>
      </w:tr>
      <w:tr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b/>
                <w:sz w:val="18"/>
              </w:rPr>
              <w:t>R10</w:t>
            </w:r>
          </w:p>
        </w:tc>
        <w:tc>
          <w:tcPr>
            <w:tcW w:type="dxa" w:w="1296"/>
            <w:shd w:val="clear" w:color="auto" w:fill="FFCCCC"/>
          </w:tcPr>
          <w:p>
            <w:r/>
            <w:r>
              <w:rPr>
                <w:sz w:val="18"/>
              </w:rPr>
              <w:t>多模块集成联调失败</w:t>
            </w:r>
          </w:p>
        </w:tc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sz w:val="18"/>
              </w:rPr>
              <w:t>高(0.7)</w:t>
            </w:r>
          </w:p>
        </w:tc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sz w:val="18"/>
              </w:rPr>
              <w:t>高(0.2)</w:t>
            </w:r>
          </w:p>
        </w:tc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sz w:val="18"/>
              </w:rPr>
              <w:t>0.140</w:t>
            </w:r>
          </w:p>
        </w:tc>
        <w:tc>
          <w:tcPr>
            <w:tcW w:type="dxa" w:w="1296"/>
            <w:shd w:val="clear" w:color="auto" w:fill="FFCCCC"/>
          </w:tcPr>
          <w:p>
            <w:pPr>
              <w:jc w:val="center"/>
            </w:pPr>
            <w:r/>
            <w:r>
              <w:rPr>
                <w:sz w:val="18"/>
              </w:rPr>
              <w:t>★★★ 高</w:t>
            </w:r>
          </w:p>
        </w:tc>
        <w:tc>
          <w:tcPr>
            <w:tcW w:type="dxa" w:w="1296"/>
            <w:shd w:val="clear" w:color="auto" w:fill="FFCCCC"/>
          </w:tcPr>
          <w:p>
            <w:r/>
            <w:r>
              <w:rPr>
                <w:sz w:val="18"/>
              </w:rPr>
              <w:t>集成阶段关键风险，影响整体交付</w:t>
            </w:r>
          </w:p>
        </w:tc>
      </w:tr>
      <w:tr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b/>
                <w:sz w:val="18"/>
              </w:rPr>
              <w:t>R2</w:t>
            </w:r>
          </w:p>
        </w:tc>
        <w:tc>
          <w:tcPr>
            <w:tcW w:type="dxa" w:w="1296"/>
            <w:shd w:val="clear" w:color="auto" w:fill="FFFACD"/>
          </w:tcPr>
          <w:p>
            <w:r/>
            <w:r>
              <w:rPr>
                <w:sz w:val="18"/>
              </w:rPr>
              <w:t>TTS语音延迟过高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中(0.5)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高(0.2)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0.100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★★ 中</w:t>
            </w:r>
          </w:p>
        </w:tc>
        <w:tc>
          <w:tcPr>
            <w:tcW w:type="dxa" w:w="1296"/>
            <w:shd w:val="clear" w:color="auto" w:fill="FFFACD"/>
          </w:tcPr>
          <w:p>
            <w:r/>
            <w:r>
              <w:rPr>
                <w:sz w:val="18"/>
              </w:rPr>
              <w:t>核心质量目标，影响用户体验</w:t>
            </w:r>
          </w:p>
        </w:tc>
      </w:tr>
      <w:tr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b/>
                <w:sz w:val="18"/>
              </w:rPr>
              <w:t>R3</w:t>
            </w:r>
          </w:p>
        </w:tc>
        <w:tc>
          <w:tcPr>
            <w:tcW w:type="dxa" w:w="1296"/>
            <w:shd w:val="clear" w:color="auto" w:fill="FFFACD"/>
          </w:tcPr>
          <w:p>
            <w:r/>
            <w:r>
              <w:rPr>
                <w:sz w:val="18"/>
              </w:rPr>
              <w:t>API调用额度耗尽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高(0.7)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中(0.1)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0.070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★★ 中</w:t>
            </w:r>
          </w:p>
        </w:tc>
        <w:tc>
          <w:tcPr>
            <w:tcW w:type="dxa" w:w="1296"/>
            <w:shd w:val="clear" w:color="auto" w:fill="FFFACD"/>
          </w:tcPr>
          <w:p>
            <w:r/>
            <w:r>
              <w:rPr>
                <w:sz w:val="18"/>
              </w:rPr>
              <w:t>可能导致开发中断，概率较高</w:t>
            </w:r>
          </w:p>
        </w:tc>
      </w:tr>
      <w:tr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b/>
                <w:sz w:val="18"/>
              </w:rPr>
              <w:t>R7</w:t>
            </w:r>
          </w:p>
        </w:tc>
        <w:tc>
          <w:tcPr>
            <w:tcW w:type="dxa" w:w="1296"/>
            <w:shd w:val="clear" w:color="auto" w:fill="FFFACD"/>
          </w:tcPr>
          <w:p>
            <w:r/>
            <w:r>
              <w:rPr>
                <w:sz w:val="18"/>
              </w:rPr>
              <w:t>本地设备算力不足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低(0.3)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高(0.2)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0.060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★★ 中</w:t>
            </w:r>
          </w:p>
        </w:tc>
        <w:tc>
          <w:tcPr>
            <w:tcW w:type="dxa" w:w="1296"/>
            <w:shd w:val="clear" w:color="auto" w:fill="FFFACD"/>
          </w:tcPr>
          <w:p>
            <w:r/>
            <w:r>
              <w:rPr>
                <w:sz w:val="18"/>
              </w:rPr>
              <w:t>影响本地部署核心优势</w:t>
            </w:r>
          </w:p>
        </w:tc>
      </w:tr>
      <w:tr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b/>
                <w:sz w:val="18"/>
              </w:rPr>
              <w:t>R9</w:t>
            </w:r>
          </w:p>
        </w:tc>
        <w:tc>
          <w:tcPr>
            <w:tcW w:type="dxa" w:w="1296"/>
            <w:shd w:val="clear" w:color="auto" w:fill="FFFACD"/>
          </w:tcPr>
          <w:p>
            <w:r/>
            <w:r>
              <w:rPr>
                <w:sz w:val="18"/>
              </w:rPr>
              <w:t>前端兼容性问题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中(0.5)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中(0.1)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0.050</w:t>
            </w:r>
          </w:p>
        </w:tc>
        <w:tc>
          <w:tcPr>
            <w:tcW w:type="dxa" w:w="1296"/>
            <w:shd w:val="clear" w:color="auto" w:fill="FFFACD"/>
          </w:tcPr>
          <w:p>
            <w:pPr>
              <w:jc w:val="center"/>
            </w:pPr>
            <w:r/>
            <w:r>
              <w:rPr>
                <w:sz w:val="18"/>
              </w:rPr>
              <w:t>★★ 中</w:t>
            </w:r>
          </w:p>
        </w:tc>
        <w:tc>
          <w:tcPr>
            <w:tcW w:type="dxa" w:w="1296"/>
            <w:shd w:val="clear" w:color="auto" w:fill="FFFACD"/>
          </w:tcPr>
          <w:p>
            <w:r/>
            <w:r>
              <w:rPr>
                <w:sz w:val="18"/>
              </w:rPr>
              <w:t>影响界面功能，需测试验证</w:t>
            </w:r>
          </w:p>
        </w:tc>
      </w:tr>
      <w:tr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b/>
                <w:sz w:val="18"/>
              </w:rPr>
              <w:t>R5</w:t>
            </w:r>
          </w:p>
        </w:tc>
        <w:tc>
          <w:tcPr>
            <w:tcW w:type="dxa" w:w="1296"/>
            <w:shd w:val="clear" w:color="auto" w:fill="CCFFCC"/>
          </w:tcPr>
          <w:p>
            <w:r/>
            <w:r>
              <w:rPr>
                <w:sz w:val="18"/>
              </w:rPr>
              <w:t>人员技术不熟练</w:t>
            </w:r>
          </w:p>
        </w:tc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sz w:val="18"/>
              </w:rPr>
              <w:t>中(0.5)</w:t>
            </w:r>
          </w:p>
        </w:tc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sz w:val="18"/>
              </w:rPr>
              <w:t>低(0.05)</w:t>
            </w:r>
          </w:p>
        </w:tc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sz w:val="18"/>
              </w:rPr>
              <w:t>0.025</w:t>
            </w:r>
          </w:p>
        </w:tc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sz w:val="18"/>
              </w:rPr>
              <w:t>★ 低</w:t>
            </w:r>
          </w:p>
        </w:tc>
        <w:tc>
          <w:tcPr>
            <w:tcW w:type="dxa" w:w="1296"/>
            <w:shd w:val="clear" w:color="auto" w:fill="CCFFCC"/>
          </w:tcPr>
          <w:p>
            <w:r/>
            <w:r>
              <w:rPr>
                <w:sz w:val="18"/>
              </w:rPr>
              <w:t>通过技术培训和任务分配可缓解</w:t>
            </w:r>
          </w:p>
        </w:tc>
      </w:tr>
      <w:tr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b/>
                <w:sz w:val="18"/>
              </w:rPr>
              <w:t>R6</w:t>
            </w:r>
          </w:p>
        </w:tc>
        <w:tc>
          <w:tcPr>
            <w:tcW w:type="dxa" w:w="1296"/>
            <w:shd w:val="clear" w:color="auto" w:fill="CCFFCC"/>
          </w:tcPr>
          <w:p>
            <w:r/>
            <w:r>
              <w:rPr>
                <w:sz w:val="18"/>
              </w:rPr>
              <w:t>需求临时变更</w:t>
            </w:r>
          </w:p>
        </w:tc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sz w:val="18"/>
              </w:rPr>
              <w:t>低(0.3)</w:t>
            </w:r>
          </w:p>
        </w:tc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sz w:val="18"/>
              </w:rPr>
              <w:t>中(0.1)</w:t>
            </w:r>
          </w:p>
        </w:tc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sz w:val="18"/>
              </w:rPr>
              <w:t>0.030</w:t>
            </w:r>
          </w:p>
        </w:tc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sz w:val="18"/>
              </w:rPr>
              <w:t>★ 低</w:t>
            </w:r>
          </w:p>
        </w:tc>
        <w:tc>
          <w:tcPr>
            <w:tcW w:type="dxa" w:w="1296"/>
            <w:shd w:val="clear" w:color="auto" w:fill="CCFFCC"/>
          </w:tcPr>
          <w:p>
            <w:r/>
            <w:r>
              <w:rPr>
                <w:sz w:val="18"/>
              </w:rPr>
              <w:t>课程项目需求相对稳定</w:t>
            </w:r>
          </w:p>
        </w:tc>
      </w:tr>
      <w:tr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b/>
                <w:sz w:val="18"/>
              </w:rPr>
              <w:t>R8</w:t>
            </w:r>
          </w:p>
        </w:tc>
        <w:tc>
          <w:tcPr>
            <w:tcW w:type="dxa" w:w="1296"/>
            <w:shd w:val="clear" w:color="auto" w:fill="CCFFCC"/>
          </w:tcPr>
          <w:p>
            <w:r/>
            <w:r>
              <w:rPr>
                <w:sz w:val="18"/>
              </w:rPr>
              <w:t>数据隐私风险</w:t>
            </w:r>
          </w:p>
        </w:tc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sz w:val="18"/>
              </w:rPr>
              <w:t>很低(0.1)</w:t>
            </w:r>
          </w:p>
        </w:tc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sz w:val="18"/>
              </w:rPr>
              <w:t>低(0.05)</w:t>
            </w:r>
          </w:p>
        </w:tc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sz w:val="18"/>
              </w:rPr>
              <w:t>0.005</w:t>
            </w:r>
          </w:p>
        </w:tc>
        <w:tc>
          <w:tcPr>
            <w:tcW w:type="dxa" w:w="1296"/>
            <w:shd w:val="clear" w:color="auto" w:fill="CCFFCC"/>
          </w:tcPr>
          <w:p>
            <w:pPr>
              <w:jc w:val="center"/>
            </w:pPr>
            <w:r/>
            <w:r>
              <w:rPr>
                <w:sz w:val="18"/>
              </w:rPr>
              <w:t>★ 低</w:t>
            </w:r>
          </w:p>
        </w:tc>
        <w:tc>
          <w:tcPr>
            <w:tcW w:type="dxa" w:w="1296"/>
            <w:shd w:val="clear" w:color="auto" w:fill="CCFFCC"/>
          </w:tcPr>
          <w:p>
            <w:r/>
            <w:r>
              <w:rPr>
                <w:sz w:val="18"/>
              </w:rPr>
              <w:t>概率低，可通过隐私设计缓解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四、风险定量分析</w:t>
      </w:r>
    </w:p>
    <w:p>
      <w:pPr>
        <w:pStyle w:val="Heading2"/>
        <w:jc w:val="left"/>
      </w:pPr>
      <w:r>
        <w:rPr>
          <w:color w:val="1F3864"/>
        </w:rPr>
        <w:t>4.1 定量方法说明</w:t>
      </w:r>
    </w:p>
    <w:p>
      <w:r>
        <w:rPr>
          <w:b w:val="0"/>
          <w:sz w:val="21"/>
        </w:rPr>
        <w:t>对定性分析中确认为"高"和"中"优先级的风险（R1、R2、R3、R4、R7、R9、R10），采用以下定量方法进行深入分析：</w:t>
      </w:r>
    </w:p>
    <w:p>
      <w:pPr>
        <w:ind w:left="420"/>
      </w:pPr>
      <w:r>
        <w:rPr>
          <w:b w:val="0"/>
          <w:sz w:val="21"/>
        </w:rPr>
        <w:t>· 期望货币价值（EMV）：量化每项风险的期望成本影响，用于计算应急储备金。</w:t>
      </w:r>
    </w:p>
    <w:p>
      <w:pPr>
        <w:ind w:left="420"/>
      </w:pPr>
      <w:r>
        <w:rPr>
          <w:b w:val="0"/>
          <w:sz w:val="21"/>
        </w:rPr>
        <w:t>· 决策树分析：针对R3（API额度风险），分析"自建模型"vs"购买API"两种方案的期望收益。</w:t>
      </w:r>
    </w:p>
    <w:p>
      <w:pPr>
        <w:ind w:left="420"/>
      </w:pPr>
      <w:r>
        <w:rPr>
          <w:b w:val="0"/>
          <w:sz w:val="21"/>
        </w:rPr>
        <w:t>· 蒙特卡洛模拟：评估项目进度风险（R5+R10组合效应）对关键路径（26天）完工概率的影响。</w:t>
      </w:r>
    </w:p>
    <w:p>
      <w:pPr>
        <w:ind w:left="420"/>
      </w:pPr>
      <w:r>
        <w:rPr>
          <w:b w:val="0"/>
          <w:sz w:val="21"/>
        </w:rPr>
        <w:t>· 敏感性分析：识别对项目总成本影响最大的风险因素（龙卷风图）。</w:t>
      </w:r>
    </w:p>
    <w:p>
      <w:pPr>
        <w:pStyle w:val="Heading2"/>
        <w:jc w:val="left"/>
      </w:pPr>
      <w:r>
        <w:rPr>
          <w:color w:val="1F3864"/>
        </w:rPr>
        <w:t>4.2 风险综合评分（EMV分析）</w:t>
      </w:r>
    </w:p>
    <w:p>
      <w:r>
        <w:rPr>
          <w:b w:val="0"/>
          <w:sz w:val="21"/>
        </w:rPr>
        <w:t>基于风险概率与潜在工期/成本影响，计算各风险的期望货币价值（EMV = 概率 × 影响量）：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风险ID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风险名称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发生概率P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最大工期损失(天)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最大成本损失(元)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EMV工期(天)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EMV成本(元)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R4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AI模型兼容性差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0.9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4.5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R1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OCR识别准确率不足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0.7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2.8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R10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多模块集成联调失败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0.7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2.8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R2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TTS语音延迟高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0.5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30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1.5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R3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API额度耗尽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0.7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1.4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70</w:t>
            </w:r>
          </w:p>
        </w:tc>
      </w:tr>
      <w:tr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R7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本地算力不足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0.3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0.6</w:t>
            </w:r>
          </w:p>
        </w:tc>
        <w:tc>
          <w:tcPr>
            <w:tcW w:type="dxa" w:w="1296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R9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前端兼容性问题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0.5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0.5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296"/>
            <w:shd w:val="clear" w:color="auto" w:fill="FFF0F0"/>
          </w:tcPr>
          <w:p>
            <w:pPr>
              <w:jc w:val="center"/>
            </w:pPr>
            <w:r/>
            <w:r>
              <w:rPr>
                <w:b/>
                <w:sz w:val="19"/>
              </w:rPr>
              <w:t>合计</w:t>
            </w:r>
          </w:p>
        </w:tc>
        <w:tc>
          <w:tcPr>
            <w:tcW w:type="dxa" w:w="1296"/>
            <w:shd w:val="clear" w:color="auto" w:fill="FFF0F0"/>
          </w:tcPr>
          <w:p>
            <w:pPr>
              <w:jc w:val="center"/>
            </w:pPr>
            <w:r/>
            <w:r>
              <w:rPr>
                <w:b/>
                <w:sz w:val="19"/>
              </w:rPr>
              <w:t>—</w:t>
            </w:r>
          </w:p>
        </w:tc>
        <w:tc>
          <w:tcPr>
            <w:tcW w:type="dxa" w:w="1296"/>
            <w:shd w:val="clear" w:color="auto" w:fill="FFF0F0"/>
          </w:tcPr>
          <w:p>
            <w:pPr>
              <w:jc w:val="center"/>
            </w:pPr>
            <w:r/>
            <w:r>
              <w:rPr>
                <w:b/>
                <w:sz w:val="19"/>
              </w:rPr>
              <w:t>—</w:t>
            </w:r>
          </w:p>
        </w:tc>
        <w:tc>
          <w:tcPr>
            <w:tcW w:type="dxa" w:w="1296"/>
            <w:shd w:val="clear" w:color="auto" w:fill="FFF0F0"/>
          </w:tcPr>
          <w:p>
            <w:pPr>
              <w:jc w:val="center"/>
            </w:pPr>
            <w:r/>
            <w:r>
              <w:rPr>
                <w:b/>
                <w:sz w:val="19"/>
              </w:rPr>
              <w:t>—</w:t>
            </w:r>
          </w:p>
        </w:tc>
        <w:tc>
          <w:tcPr>
            <w:tcW w:type="dxa" w:w="1296"/>
            <w:shd w:val="clear" w:color="auto" w:fill="FFF0F0"/>
          </w:tcPr>
          <w:p>
            <w:pPr>
              <w:jc w:val="center"/>
            </w:pPr>
            <w:r/>
            <w:r>
              <w:rPr>
                <w:b/>
                <w:sz w:val="19"/>
              </w:rPr>
              <w:t>—</w:t>
            </w:r>
          </w:p>
        </w:tc>
        <w:tc>
          <w:tcPr>
            <w:tcW w:type="dxa" w:w="1296"/>
            <w:shd w:val="clear" w:color="auto" w:fill="FFF0F0"/>
          </w:tcPr>
          <w:p>
            <w:pPr>
              <w:jc w:val="center"/>
            </w:pPr>
            <w:r/>
            <w:r>
              <w:rPr>
                <w:b/>
                <w:sz w:val="19"/>
              </w:rPr>
              <w:t>14.1天</w:t>
            </w:r>
          </w:p>
        </w:tc>
        <w:tc>
          <w:tcPr>
            <w:tcW w:type="dxa" w:w="1296"/>
            <w:shd w:val="clear" w:color="auto" w:fill="FFF0F0"/>
          </w:tcPr>
          <w:p>
            <w:pPr>
              <w:jc w:val="center"/>
            </w:pPr>
            <w:r/>
            <w:r>
              <w:rPr>
                <w:b/>
                <w:sz w:val="19"/>
              </w:rPr>
              <w:t>85元</w:t>
            </w:r>
          </w:p>
        </w:tc>
      </w:tr>
    </w:tbl>
    <w:p>
      <w:r>
        <w:rPr>
          <w:b w:val="0"/>
          <w:sz w:val="21"/>
        </w:rPr>
        <w:t>注：工期损失基于lab3关键路径（26天）估算；成本损失主要来自API费用。EMV合计显示项目需预留约14天弹性缓冲和85元成本应急储备。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14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图5：各风险综合评分排序（概率×影响）</w:t>
      </w:r>
    </w:p>
    <w:p>
      <w:pPr>
        <w:pStyle w:val="Heading2"/>
        <w:jc w:val="left"/>
      </w:pPr>
      <w:r>
        <w:rPr>
          <w:color w:val="1F3864"/>
        </w:rPr>
        <w:t>4.3 决策树分析——API方案选择</w:t>
      </w:r>
    </w:p>
    <w:p>
      <w:r>
        <w:rPr>
          <w:b w:val="0"/>
          <w:sz w:val="21"/>
        </w:rPr>
        <w:t>针对R3（API调用额度耗尽）风险，项目组面临"坚持使用云端API"vs"切换本地开源模型"两种方案。采用决策树分析评估期望收益：</w:t>
      </w:r>
    </w:p>
    <w:p>
      <w:pPr>
        <w:ind w:left="283"/>
      </w:pPr>
      <w:r>
        <w:rPr>
          <w:rFonts w:ascii="Courier New" w:hAnsi="Courier New"/>
          <w:sz w:val="18"/>
        </w:rPr>
        <w:t>决策节点：TTS方案选择</w:t>
        <w:br/>
        <w:t>├── 方案A：使用云端TTS API（Qwen3-TTS / INDEX-TTS API版）</w:t>
        <w:br/>
        <w:t>│   ├── API额度充足（P=0.3）：语音质量高，延迟低 → 价值 +100分</w:t>
        <w:br/>
        <w:t>│   └── API额度耗尽（P=0.7）：追加费用约100元，开发停滞2天 → 价值 -60分</w:t>
        <w:br/>
        <w:t>│   EMV_A = 0.3×100 + 0.7×(-60) = 30 - 42 = -12分</w:t>
        <w:br/>
        <w:t>│</w:t>
        <w:br/>
        <w:t>└── 方案B：优先使用本地开源模型（GPT-SOVIT / INDEX-TTS本地版）</w:t>
        <w:br/>
        <w:t xml:space="preserve">    ├── 本地算力足够（P=0.7）：零API成本，可离线使用 → 价值 +80分</w:t>
        <w:br/>
        <w:t xml:space="preserve">    └── 本地算力不足（P=0.3）：需降级至轻量模型，质量略降 → 价值 +20分</w:t>
        <w:br/>
        <w:t xml:space="preserve">    EMV_B = 0.7×80 + 0.3×20 = 56 + 6 = 62分</w:t>
      </w:r>
    </w:p>
    <w:p>
      <w:r>
        <w:rPr>
          <w:b w:val="0"/>
          <w:sz w:val="21"/>
        </w:rPr>
        <w:t>决策结论：EMV_B(62分) &gt;&gt; EMV_A(-12分)，建议优先采用方案B（本地开源模型），在本地算力不足时降级为轻量模型，保留云端API作为最后备选。</w:t>
      </w:r>
    </w:p>
    <w:p>
      <w:pPr>
        <w:pStyle w:val="Heading2"/>
        <w:jc w:val="left"/>
      </w:pPr>
      <w:r>
        <w:rPr>
          <w:color w:val="1F3864"/>
        </w:rPr>
        <w:t>4.4 蒙特卡洛模拟——进度风险评估</w:t>
      </w:r>
    </w:p>
    <w:p>
      <w:r>
        <w:rPr>
          <w:b w:val="0"/>
          <w:sz w:val="21"/>
        </w:rPr>
        <w:t>对关键路径任务（A→B→C/D→G→H→I，标准工期26天）进行蒙特卡洛模拟，考虑R4、R5、R10三个进度风险的叠加效应：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乐观工期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最可能工期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悲观工期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期望工期（含风险）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sz w:val="19"/>
              </w:rPr>
              <w:t>需求分析A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乐观2天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最可能3天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悲观4天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期望3.0天</w:t>
            </w:r>
          </w:p>
        </w:tc>
      </w:tr>
      <w:tr>
        <w:tc>
          <w:tcPr>
            <w:tcW w:type="dxa" w:w="1814"/>
            <w:shd w:val="clear" w:color="auto" w:fill="F2F7FF"/>
          </w:tcPr>
          <w:p>
            <w:pPr>
              <w:jc w:val="left"/>
            </w:pPr>
            <w:r/>
            <w:r>
              <w:rPr>
                <w:sz w:val="19"/>
              </w:rPr>
              <w:t>系统设计B</w:t>
            </w:r>
          </w:p>
        </w:tc>
        <w:tc>
          <w:tcPr>
            <w:tcW w:type="dxa" w:w="1814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乐观2天</w:t>
            </w:r>
          </w:p>
        </w:tc>
        <w:tc>
          <w:tcPr>
            <w:tcW w:type="dxa" w:w="1814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最可能3天</w:t>
            </w:r>
          </w:p>
        </w:tc>
        <w:tc>
          <w:tcPr>
            <w:tcW w:type="dxa" w:w="1814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悲观5天</w:t>
            </w:r>
          </w:p>
        </w:tc>
        <w:tc>
          <w:tcPr>
            <w:tcW w:type="dxa" w:w="1814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期望3.2天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sz w:val="19"/>
              </w:rPr>
              <w:t>屏幕识别C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乐观6天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最可能8天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悲观12天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期望8.3天（R4风险）</w:t>
            </w:r>
          </w:p>
        </w:tc>
      </w:tr>
      <w:tr>
        <w:tc>
          <w:tcPr>
            <w:tcW w:type="dxa" w:w="1814"/>
            <w:shd w:val="clear" w:color="auto" w:fill="F2F7FF"/>
          </w:tcPr>
          <w:p>
            <w:pPr>
              <w:jc w:val="left"/>
            </w:pPr>
            <w:r/>
            <w:r>
              <w:rPr>
                <w:sz w:val="19"/>
              </w:rPr>
              <w:t>文本转音频D</w:t>
            </w:r>
          </w:p>
        </w:tc>
        <w:tc>
          <w:tcPr>
            <w:tcW w:type="dxa" w:w="1814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乐观6天</w:t>
            </w:r>
          </w:p>
        </w:tc>
        <w:tc>
          <w:tcPr>
            <w:tcW w:type="dxa" w:w="1814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最可能8天</w:t>
            </w:r>
          </w:p>
        </w:tc>
        <w:tc>
          <w:tcPr>
            <w:tcW w:type="dxa" w:w="1814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悲观11天</w:t>
            </w:r>
          </w:p>
        </w:tc>
        <w:tc>
          <w:tcPr>
            <w:tcW w:type="dxa" w:w="1814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期望8.2天（R1/R2风险）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sz w:val="19"/>
              </w:rPr>
              <w:t>系统集成G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乐观4天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最可能5天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悲观9天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期望5.5天（R10风险）</w:t>
            </w:r>
          </w:p>
        </w:tc>
      </w:tr>
      <w:tr>
        <w:tc>
          <w:tcPr>
            <w:tcW w:type="dxa" w:w="1814"/>
            <w:shd w:val="clear" w:color="auto" w:fill="F2F7FF"/>
          </w:tcPr>
          <w:p>
            <w:pPr>
              <w:jc w:val="left"/>
            </w:pPr>
            <w:r/>
            <w:r>
              <w:rPr>
                <w:sz w:val="19"/>
              </w:rPr>
              <w:t>测试优化H</w:t>
            </w:r>
          </w:p>
        </w:tc>
        <w:tc>
          <w:tcPr>
            <w:tcW w:type="dxa" w:w="1814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乐观3天</w:t>
            </w:r>
          </w:p>
        </w:tc>
        <w:tc>
          <w:tcPr>
            <w:tcW w:type="dxa" w:w="1814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最可能4天</w:t>
            </w:r>
          </w:p>
        </w:tc>
        <w:tc>
          <w:tcPr>
            <w:tcW w:type="dxa" w:w="1814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悲观6天</w:t>
            </w:r>
          </w:p>
        </w:tc>
        <w:tc>
          <w:tcPr>
            <w:tcW w:type="dxa" w:w="1814"/>
            <w:shd w:val="clear" w:color="auto" w:fill="F2F7FF"/>
          </w:tcPr>
          <w:p>
            <w:pPr>
              <w:jc w:val="center"/>
            </w:pPr>
            <w:r/>
            <w:r>
              <w:rPr>
                <w:sz w:val="19"/>
              </w:rPr>
              <w:t>期望4.2天</w:t>
            </w:r>
          </w:p>
        </w:tc>
      </w:tr>
      <w:tr>
        <w:tc>
          <w:tcPr>
            <w:tcW w:type="dxa" w:w="1814"/>
            <w:shd w:val="clear" w:color="auto" w:fill="FFF0F0"/>
          </w:tcPr>
          <w:p>
            <w:pPr>
              <w:jc w:val="left"/>
            </w:pPr>
            <w:r/>
            <w:r>
              <w:rPr>
                <w:b/>
                <w:sz w:val="19"/>
              </w:rPr>
              <w:t>总计（关键路径）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center"/>
            </w:pPr>
            <w:r/>
            <w:r>
              <w:rPr>
                <w:b/>
                <w:sz w:val="19"/>
              </w:rPr>
              <w:t>—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center"/>
            </w:pPr>
            <w:r/>
            <w:r>
              <w:rPr>
                <w:b/>
                <w:sz w:val="19"/>
              </w:rPr>
              <w:t>—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center"/>
            </w:pPr>
            <w:r/>
            <w:r>
              <w:rPr>
                <w:b/>
                <w:sz w:val="19"/>
              </w:rPr>
              <w:t>—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center"/>
            </w:pPr>
            <w:r/>
            <w:r>
              <w:rPr>
                <w:b/>
                <w:sz w:val="19"/>
              </w:rPr>
              <w:t>期望32.4天</w:t>
            </w:r>
          </w:p>
        </w:tc>
      </w:tr>
    </w:tbl>
    <w:p>
      <w:r>
        <w:rPr>
          <w:b w:val="0"/>
          <w:sz w:val="21"/>
        </w:rPr>
        <w:t>模拟结论：在不采取应对措施的情况下，期望完工时间为32.4天（超出计划26天约6.4天），按时完成概率约25%。通过实施风险应对措施（技术预研、模块并行、合理任务缓冲），可将按时完成概率提升至约75%。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五、风险应对计划</w:t>
      </w:r>
    </w:p>
    <w:p>
      <w:pPr>
        <w:pStyle w:val="Heading2"/>
        <w:jc w:val="left"/>
      </w:pPr>
      <w:r>
        <w:rPr>
          <w:color w:val="1F3864"/>
        </w:rPr>
        <w:t>5.1 应对策略总表</w:t>
      </w:r>
    </w:p>
    <w:p>
      <w:r>
        <w:rPr>
          <w:b w:val="0"/>
          <w:sz w:val="21"/>
        </w:rPr>
        <w:t>根据PMBOK风险应对策略框架（威胁：规避/转移/减轻/接受），针对各风险制定应对措施：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风险ID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风险名称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应对策略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具体措施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责任人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触发条件</w:t>
            </w:r>
          </w:p>
        </w:tc>
      </w:tr>
      <w:tr>
        <w:tc>
          <w:tcPr>
            <w:tcW w:type="dxa" w:w="1296"/>
            <w:shd w:val="clear" w:color="auto" w:fill="FFEEEE"/>
          </w:tcPr>
          <w:p>
            <w:pPr>
              <w:jc w:val="center"/>
            </w:pPr>
            <w:r/>
            <w:r>
              <w:rPr>
                <w:b/>
                <w:sz w:val="17"/>
              </w:rPr>
              <w:t>R4</w:t>
            </w:r>
          </w:p>
        </w:tc>
        <w:tc>
          <w:tcPr>
            <w:tcW w:type="dxa" w:w="1296"/>
            <w:shd w:val="clear" w:color="auto" w:fill="FFEEEE"/>
          </w:tcPr>
          <w:p>
            <w:r/>
            <w:r>
              <w:rPr>
                <w:sz w:val="17"/>
              </w:rPr>
              <w:t>AI模型兼容性差</w:t>
            </w:r>
          </w:p>
        </w:tc>
        <w:tc>
          <w:tcPr>
            <w:tcW w:type="dxa" w:w="1296"/>
            <w:shd w:val="clear" w:color="auto" w:fill="FFEEEE"/>
          </w:tcPr>
          <w:p>
            <w:pPr>
              <w:jc w:val="center"/>
            </w:pPr>
            <w:r/>
            <w:r>
              <w:rPr>
                <w:sz w:val="17"/>
              </w:rPr>
              <w:t>★★★高</w:t>
            </w:r>
          </w:p>
        </w:tc>
        <w:tc>
          <w:tcPr>
            <w:tcW w:type="dxa" w:w="1296"/>
            <w:shd w:val="clear" w:color="auto" w:fill="FFEEEE"/>
          </w:tcPr>
          <w:p>
            <w:pPr>
              <w:jc w:val="center"/>
            </w:pPr>
            <w:r/>
            <w:r>
              <w:rPr>
                <w:sz w:val="17"/>
              </w:rPr>
              <w:t>减轻</w:t>
              <w:br/>
              <w:t>+规避</w:t>
            </w:r>
          </w:p>
        </w:tc>
        <w:tc>
          <w:tcPr>
            <w:tcW w:type="dxa" w:w="1296"/>
            <w:shd w:val="clear" w:color="auto" w:fill="FFEEEE"/>
          </w:tcPr>
          <w:p>
            <w:r/>
            <w:r>
              <w:rPr>
                <w:sz w:val="17"/>
              </w:rPr>
              <w:t>① 项目第3天前完成所有拟用模型的安装验证</w:t>
              <w:br/>
              <w:t>② 建立备用模型清单（每类至少2个备选）</w:t>
              <w:br/>
              <w:t>③ 隔离各模型依赖环境（conda虚拟环境）</w:t>
              <w:br/>
              <w:t>④ 统一接口封装层，屏蔽底层差异</w:t>
            </w:r>
          </w:p>
        </w:tc>
        <w:tc>
          <w:tcPr>
            <w:tcW w:type="dxa" w:w="1296"/>
            <w:shd w:val="clear" w:color="auto" w:fill="FFEEEE"/>
          </w:tcPr>
          <w:p>
            <w:r/>
            <w:r>
              <w:rPr>
                <w:sz w:val="17"/>
              </w:rPr>
              <w:t>梁艺馨</w:t>
              <w:br/>
              <w:t>马鑫</w:t>
            </w:r>
          </w:p>
        </w:tc>
        <w:tc>
          <w:tcPr>
            <w:tcW w:type="dxa" w:w="1296"/>
            <w:shd w:val="clear" w:color="auto" w:fill="FFEEEE"/>
          </w:tcPr>
          <w:p>
            <w:r/>
            <w:r>
              <w:rPr>
                <w:sz w:val="17"/>
              </w:rPr>
              <w:t>模型安装失败或接口调用报错</w:t>
            </w:r>
          </w:p>
        </w:tc>
      </w:tr>
      <w:tr>
        <w:tc>
          <w:tcPr>
            <w:tcW w:type="dxa" w:w="1296"/>
            <w:shd w:val="clear" w:color="auto" w:fill="FFEEEE"/>
          </w:tcPr>
          <w:p>
            <w:pPr>
              <w:jc w:val="center"/>
            </w:pPr>
            <w:r/>
            <w:r>
              <w:rPr>
                <w:b/>
                <w:sz w:val="17"/>
              </w:rPr>
              <w:t>R1</w:t>
            </w:r>
          </w:p>
        </w:tc>
        <w:tc>
          <w:tcPr>
            <w:tcW w:type="dxa" w:w="1296"/>
            <w:shd w:val="clear" w:color="auto" w:fill="FFEEEE"/>
          </w:tcPr>
          <w:p>
            <w:r/>
            <w:r>
              <w:rPr>
                <w:sz w:val="17"/>
              </w:rPr>
              <w:t>OCR识别准确率不足</w:t>
            </w:r>
          </w:p>
        </w:tc>
        <w:tc>
          <w:tcPr>
            <w:tcW w:type="dxa" w:w="1296"/>
            <w:shd w:val="clear" w:color="auto" w:fill="FFEEEE"/>
          </w:tcPr>
          <w:p>
            <w:pPr>
              <w:jc w:val="center"/>
            </w:pPr>
            <w:r/>
            <w:r>
              <w:rPr>
                <w:sz w:val="17"/>
              </w:rPr>
              <w:t>★★★高</w:t>
            </w:r>
          </w:p>
        </w:tc>
        <w:tc>
          <w:tcPr>
            <w:tcW w:type="dxa" w:w="1296"/>
            <w:shd w:val="clear" w:color="auto" w:fill="FFEEEE"/>
          </w:tcPr>
          <w:p>
            <w:pPr>
              <w:jc w:val="center"/>
            </w:pPr>
            <w:r/>
            <w:r>
              <w:rPr>
                <w:sz w:val="17"/>
              </w:rPr>
              <w:t>减轻</w:t>
            </w:r>
          </w:p>
        </w:tc>
        <w:tc>
          <w:tcPr>
            <w:tcW w:type="dxa" w:w="1296"/>
            <w:shd w:val="clear" w:color="auto" w:fill="FFEEEE"/>
          </w:tcPr>
          <w:p>
            <w:r/>
            <w:r>
              <w:rPr>
                <w:sz w:val="17"/>
              </w:rPr>
              <w:t>① 采用多引擎方案：PaddleOCR为主，Tesseract为备</w:t>
              <w:br/>
              <w:t>② 图像预处理（灰度化、二值化、降噪）提升识别率</w:t>
              <w:br/>
              <w:t>③ 针对游戏场景设置ROI区域框选</w:t>
              <w:br/>
              <w:t>④ 定期准确率测试，低于85%立即调整预处理策略</w:t>
            </w:r>
          </w:p>
        </w:tc>
        <w:tc>
          <w:tcPr>
            <w:tcW w:type="dxa" w:w="1296"/>
            <w:shd w:val="clear" w:color="auto" w:fill="FFEEEE"/>
          </w:tcPr>
          <w:p>
            <w:r/>
            <w:r>
              <w:rPr>
                <w:sz w:val="17"/>
              </w:rPr>
              <w:t>杨子祺</w:t>
              <w:br/>
              <w:t>王婧晋</w:t>
            </w:r>
          </w:p>
        </w:tc>
        <w:tc>
          <w:tcPr>
            <w:tcW w:type="dxa" w:w="1296"/>
            <w:shd w:val="clear" w:color="auto" w:fill="FFEEEE"/>
          </w:tcPr>
          <w:p>
            <w:r/>
            <w:r>
              <w:rPr>
                <w:sz w:val="17"/>
              </w:rPr>
              <w:t>测试准确率低于90%</w:t>
            </w:r>
          </w:p>
        </w:tc>
      </w:tr>
      <w:tr>
        <w:tc>
          <w:tcPr>
            <w:tcW w:type="dxa" w:w="1296"/>
            <w:shd w:val="clear" w:color="auto" w:fill="FFEEEE"/>
          </w:tcPr>
          <w:p>
            <w:pPr>
              <w:jc w:val="center"/>
            </w:pPr>
            <w:r/>
            <w:r>
              <w:rPr>
                <w:b/>
                <w:sz w:val="17"/>
              </w:rPr>
              <w:t>R10</w:t>
            </w:r>
          </w:p>
        </w:tc>
        <w:tc>
          <w:tcPr>
            <w:tcW w:type="dxa" w:w="1296"/>
            <w:shd w:val="clear" w:color="auto" w:fill="FFEEEE"/>
          </w:tcPr>
          <w:p>
            <w:r/>
            <w:r>
              <w:rPr>
                <w:sz w:val="17"/>
              </w:rPr>
              <w:t>多模块集成联调失败</w:t>
            </w:r>
          </w:p>
        </w:tc>
        <w:tc>
          <w:tcPr>
            <w:tcW w:type="dxa" w:w="1296"/>
            <w:shd w:val="clear" w:color="auto" w:fill="FFEEEE"/>
          </w:tcPr>
          <w:p>
            <w:pPr>
              <w:jc w:val="center"/>
            </w:pPr>
            <w:r/>
            <w:r>
              <w:rPr>
                <w:sz w:val="17"/>
              </w:rPr>
              <w:t>★★★高</w:t>
            </w:r>
          </w:p>
        </w:tc>
        <w:tc>
          <w:tcPr>
            <w:tcW w:type="dxa" w:w="1296"/>
            <w:shd w:val="clear" w:color="auto" w:fill="FFEEEE"/>
          </w:tcPr>
          <w:p>
            <w:pPr>
              <w:jc w:val="center"/>
            </w:pPr>
            <w:r/>
            <w:r>
              <w:rPr>
                <w:sz w:val="17"/>
              </w:rPr>
              <w:t>减轻</w:t>
              <w:br/>
              <w:t>+减轻</w:t>
            </w:r>
          </w:p>
        </w:tc>
        <w:tc>
          <w:tcPr>
            <w:tcW w:type="dxa" w:w="1296"/>
            <w:shd w:val="clear" w:color="auto" w:fill="FFEEEE"/>
          </w:tcPr>
          <w:p>
            <w:r/>
            <w:r>
              <w:rPr>
                <w:sz w:val="17"/>
              </w:rPr>
              <w:t>① 提前定义模块间接口规范（数据格式、调用方式）</w:t>
              <w:br/>
              <w:t>② 开发阶段建立Mock接口，并行开发减少等待</w:t>
              <w:br/>
              <w:t>③ 集成前进行两两模块联调测试</w:t>
              <w:br/>
              <w:t>④ 集成期间每日代码合并，及时暴露冲突</w:t>
            </w:r>
          </w:p>
        </w:tc>
        <w:tc>
          <w:tcPr>
            <w:tcW w:type="dxa" w:w="1296"/>
            <w:shd w:val="clear" w:color="auto" w:fill="FFEEEE"/>
          </w:tcPr>
          <w:p>
            <w:r/>
            <w:r>
              <w:rPr>
                <w:sz w:val="17"/>
              </w:rPr>
              <w:t>马鑫</w:t>
              <w:br/>
              <w:t>刘宇轩</w:t>
            </w:r>
          </w:p>
        </w:tc>
        <w:tc>
          <w:tcPr>
            <w:tcW w:type="dxa" w:w="1296"/>
            <w:shd w:val="clear" w:color="auto" w:fill="FFEEEE"/>
          </w:tcPr>
          <w:p>
            <w:r/>
            <w:r>
              <w:rPr>
                <w:sz w:val="17"/>
              </w:rPr>
              <w:t>集成阶段出现接口异常或数据格式不匹配</w:t>
            </w:r>
          </w:p>
        </w:tc>
      </w:tr>
      <w:tr>
        <w:tc>
          <w:tcPr>
            <w:tcW w:type="dxa" w:w="1296"/>
            <w:shd w:val="clear" w:color="auto" w:fill="FFFFF0"/>
          </w:tcPr>
          <w:p>
            <w:pPr>
              <w:jc w:val="center"/>
            </w:pPr>
            <w:r/>
            <w:r>
              <w:rPr>
                <w:b/>
                <w:sz w:val="17"/>
              </w:rPr>
              <w:t>R2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TTS语音延迟过高</w:t>
            </w:r>
          </w:p>
        </w:tc>
        <w:tc>
          <w:tcPr>
            <w:tcW w:type="dxa" w:w="1296"/>
            <w:shd w:val="clear" w:color="auto" w:fill="FFFFF0"/>
          </w:tcPr>
          <w:p>
            <w:pPr>
              <w:jc w:val="center"/>
            </w:pPr>
            <w:r/>
            <w:r>
              <w:rPr>
                <w:sz w:val="17"/>
              </w:rPr>
              <w:t>★★中</w:t>
            </w:r>
          </w:p>
        </w:tc>
        <w:tc>
          <w:tcPr>
            <w:tcW w:type="dxa" w:w="1296"/>
            <w:shd w:val="clear" w:color="auto" w:fill="FFFFF0"/>
          </w:tcPr>
          <w:p>
            <w:pPr>
              <w:jc w:val="center"/>
            </w:pPr>
            <w:r/>
            <w:r>
              <w:rPr>
                <w:sz w:val="17"/>
              </w:rPr>
              <w:t>减轻</w:t>
              <w:br/>
              <w:t>+接受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① 优先使用轻量模型（INDEX-TTS轻量版），降低推理延迟</w:t>
              <w:br/>
              <w:t>② 降低采样率（22050Hz→16000Hz）</w:t>
              <w:br/>
              <w:t>③ 使用流式TTS（边生成边播放）</w:t>
              <w:br/>
              <w:t>④ 若延迟仍超5s，设置"可接受阈值提示"告知用户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马鑫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TTS延迟超过5秒</w:t>
            </w:r>
          </w:p>
        </w:tc>
      </w:tr>
      <w:tr>
        <w:tc>
          <w:tcPr>
            <w:tcW w:type="dxa" w:w="1296"/>
            <w:shd w:val="clear" w:color="auto" w:fill="FFFFF0"/>
          </w:tcPr>
          <w:p>
            <w:pPr>
              <w:jc w:val="center"/>
            </w:pPr>
            <w:r/>
            <w:r>
              <w:rPr>
                <w:b/>
                <w:sz w:val="17"/>
              </w:rPr>
              <w:t>R3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API调用额度耗尽</w:t>
            </w:r>
          </w:p>
        </w:tc>
        <w:tc>
          <w:tcPr>
            <w:tcW w:type="dxa" w:w="1296"/>
            <w:shd w:val="clear" w:color="auto" w:fill="FFFFF0"/>
          </w:tcPr>
          <w:p>
            <w:pPr>
              <w:jc w:val="center"/>
            </w:pPr>
            <w:r/>
            <w:r>
              <w:rPr>
                <w:sz w:val="17"/>
              </w:rPr>
              <w:t>★★中</w:t>
            </w:r>
          </w:p>
        </w:tc>
        <w:tc>
          <w:tcPr>
            <w:tcW w:type="dxa" w:w="1296"/>
            <w:shd w:val="clear" w:color="auto" w:fill="FFFFF0"/>
          </w:tcPr>
          <w:p>
            <w:pPr>
              <w:jc w:val="center"/>
            </w:pPr>
            <w:r/>
            <w:r>
              <w:rPr>
                <w:sz w:val="17"/>
              </w:rPr>
              <w:t>规避</w:t>
              <w:br/>
              <w:t>+转移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① 优先使用本地开源模型（决策树分析方案B）</w:t>
              <w:br/>
              <w:t>② API调用设置每日配额上限警告</w:t>
              <w:br/>
              <w:t>③ 申请阿里云/DeepSeek教育优惠额度</w:t>
              <w:br/>
              <w:t>④ 团队共享一个API账号，统一管理token使用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马鑫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API调用费用超过50元或余额告警</w:t>
            </w:r>
          </w:p>
        </w:tc>
      </w:tr>
      <w:tr>
        <w:tc>
          <w:tcPr>
            <w:tcW w:type="dxa" w:w="1296"/>
            <w:shd w:val="clear" w:color="auto" w:fill="FFFFF0"/>
          </w:tcPr>
          <w:p>
            <w:pPr>
              <w:jc w:val="center"/>
            </w:pPr>
            <w:r/>
            <w:r>
              <w:rPr>
                <w:b/>
                <w:sz w:val="17"/>
              </w:rPr>
              <w:t>R7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本地算力不足</w:t>
            </w:r>
          </w:p>
        </w:tc>
        <w:tc>
          <w:tcPr>
            <w:tcW w:type="dxa" w:w="1296"/>
            <w:shd w:val="clear" w:color="auto" w:fill="FFFFF0"/>
          </w:tcPr>
          <w:p>
            <w:pPr>
              <w:jc w:val="center"/>
            </w:pPr>
            <w:r/>
            <w:r>
              <w:rPr>
                <w:sz w:val="17"/>
              </w:rPr>
              <w:t>★★中</w:t>
            </w:r>
          </w:p>
        </w:tc>
        <w:tc>
          <w:tcPr>
            <w:tcW w:type="dxa" w:w="1296"/>
            <w:shd w:val="clear" w:color="auto" w:fill="FFFFF0"/>
          </w:tcPr>
          <w:p>
            <w:pPr>
              <w:jc w:val="center"/>
            </w:pPr>
            <w:r/>
            <w:r>
              <w:rPr>
                <w:sz w:val="17"/>
              </w:rPr>
              <w:t>转移</w:t>
              <w:br/>
              <w:t>+减轻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① 转移至性能最优的成员电脑作为主开发机</w:t>
              <w:br/>
              <w:t>② 轻量化模型替代（降低模型参数规模）</w:t>
              <w:br/>
              <w:t>③ 关闭后台应用，释放GPU内存</w:t>
              <w:br/>
              <w:t>④ 若仍不足，切换至API调用模式（备用方案A）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杨子祺</w:t>
              <w:br/>
              <w:t>王婧晋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模型推理时间&gt;10秒或设备严重卡顿</w:t>
            </w:r>
          </w:p>
        </w:tc>
      </w:tr>
      <w:tr>
        <w:tc>
          <w:tcPr>
            <w:tcW w:type="dxa" w:w="1296"/>
            <w:shd w:val="clear" w:color="auto" w:fill="FFFFF0"/>
          </w:tcPr>
          <w:p>
            <w:pPr>
              <w:jc w:val="center"/>
            </w:pPr>
            <w:r/>
            <w:r>
              <w:rPr>
                <w:b/>
                <w:sz w:val="17"/>
              </w:rPr>
              <w:t>R9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前端兼容性问题</w:t>
            </w:r>
          </w:p>
        </w:tc>
        <w:tc>
          <w:tcPr>
            <w:tcW w:type="dxa" w:w="1296"/>
            <w:shd w:val="clear" w:color="auto" w:fill="FFFFF0"/>
          </w:tcPr>
          <w:p>
            <w:pPr>
              <w:jc w:val="center"/>
            </w:pPr>
            <w:r/>
            <w:r>
              <w:rPr>
                <w:sz w:val="17"/>
              </w:rPr>
              <w:t>★★中</w:t>
            </w:r>
          </w:p>
        </w:tc>
        <w:tc>
          <w:tcPr>
            <w:tcW w:type="dxa" w:w="1296"/>
            <w:shd w:val="clear" w:color="auto" w:fill="FFFFF0"/>
          </w:tcPr>
          <w:p>
            <w:pPr>
              <w:jc w:val="center"/>
            </w:pPr>
            <w:r/>
            <w:r>
              <w:rPr>
                <w:sz w:val="17"/>
              </w:rPr>
              <w:t>减轻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① 统一开发环境（Windows 11 + Python 3.12 + tkinter/PyQt）</w:t>
              <w:br/>
              <w:t>② 定义UI分辨率适配规范（最小1080P）</w:t>
              <w:br/>
              <w:t>③ 开发完成后在不同分辨率设备上测试</w:t>
              <w:br/>
              <w:t>④ 使用相对布局，避免绝对像素坐标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刘宇轩</w:t>
            </w:r>
          </w:p>
        </w:tc>
        <w:tc>
          <w:tcPr>
            <w:tcW w:type="dxa" w:w="1296"/>
            <w:shd w:val="clear" w:color="auto" w:fill="FFFFF0"/>
          </w:tcPr>
          <w:p>
            <w:r/>
            <w:r>
              <w:rPr>
                <w:sz w:val="17"/>
              </w:rPr>
              <w:t>界面显示错乱或控件超出边界</w:t>
            </w:r>
          </w:p>
        </w:tc>
      </w:tr>
      <w:tr>
        <w:tc>
          <w:tcPr>
            <w:tcW w:type="dxa" w:w="1296"/>
            <w:shd w:val="clear" w:color="auto" w:fill="F0FFF0"/>
          </w:tcPr>
          <w:p>
            <w:pPr>
              <w:jc w:val="center"/>
            </w:pPr>
            <w:r/>
            <w:r>
              <w:rPr>
                <w:b/>
                <w:sz w:val="17"/>
              </w:rPr>
              <w:t>R5</w:t>
            </w:r>
          </w:p>
        </w:tc>
        <w:tc>
          <w:tcPr>
            <w:tcW w:type="dxa" w:w="1296"/>
            <w:shd w:val="clear" w:color="auto" w:fill="F0FFF0"/>
          </w:tcPr>
          <w:p>
            <w:r/>
            <w:r>
              <w:rPr>
                <w:sz w:val="17"/>
              </w:rPr>
              <w:t>人员技术不熟练</w:t>
            </w:r>
          </w:p>
        </w:tc>
        <w:tc>
          <w:tcPr>
            <w:tcW w:type="dxa" w:w="1296"/>
            <w:shd w:val="clear" w:color="auto" w:fill="F0FFF0"/>
          </w:tcPr>
          <w:p>
            <w:pPr>
              <w:jc w:val="center"/>
            </w:pPr>
            <w:r/>
            <w:r>
              <w:rPr>
                <w:sz w:val="17"/>
              </w:rPr>
              <w:t>★低</w:t>
            </w:r>
          </w:p>
        </w:tc>
        <w:tc>
          <w:tcPr>
            <w:tcW w:type="dxa" w:w="1296"/>
            <w:shd w:val="clear" w:color="auto" w:fill="F0FFF0"/>
          </w:tcPr>
          <w:p>
            <w:pPr>
              <w:jc w:val="center"/>
            </w:pPr>
            <w:r/>
            <w:r>
              <w:rPr>
                <w:sz w:val="17"/>
              </w:rPr>
              <w:t>减轻</w:t>
            </w:r>
          </w:p>
        </w:tc>
        <w:tc>
          <w:tcPr>
            <w:tcW w:type="dxa" w:w="1296"/>
            <w:shd w:val="clear" w:color="auto" w:fill="F0FFF0"/>
          </w:tcPr>
          <w:p>
            <w:r/>
            <w:r>
              <w:rPr>
                <w:sz w:val="17"/>
              </w:rPr>
              <w:t>① 项目开始前分享技术参考资料（OCR/TTS教程）</w:t>
              <w:br/>
              <w:t>② 技术难点由项目经理优先攻关，形成Demo供参考</w:t>
              <w:br/>
              <w:t>③ 设置里程碑检查节点，及时发现进度偏差</w:t>
            </w:r>
          </w:p>
        </w:tc>
        <w:tc>
          <w:tcPr>
            <w:tcW w:type="dxa" w:w="1296"/>
            <w:shd w:val="clear" w:color="auto" w:fill="F0FFF0"/>
          </w:tcPr>
          <w:p>
            <w:r/>
            <w:r>
              <w:rPr>
                <w:sz w:val="17"/>
              </w:rPr>
              <w:t>马鑫</w:t>
            </w:r>
          </w:p>
        </w:tc>
        <w:tc>
          <w:tcPr>
            <w:tcW w:type="dxa" w:w="1296"/>
            <w:shd w:val="clear" w:color="auto" w:fill="F0FFF0"/>
          </w:tcPr>
          <w:p>
            <w:r/>
            <w:r>
              <w:rPr>
                <w:sz w:val="17"/>
              </w:rPr>
              <w:t>任务实际进度落后计划2天以上</w:t>
            </w:r>
          </w:p>
        </w:tc>
      </w:tr>
      <w:tr>
        <w:tc>
          <w:tcPr>
            <w:tcW w:type="dxa" w:w="1296"/>
            <w:shd w:val="clear" w:color="auto" w:fill="F0FFF0"/>
          </w:tcPr>
          <w:p>
            <w:pPr>
              <w:jc w:val="center"/>
            </w:pPr>
            <w:r/>
            <w:r>
              <w:rPr>
                <w:b/>
                <w:sz w:val="17"/>
              </w:rPr>
              <w:t>R6</w:t>
            </w:r>
          </w:p>
        </w:tc>
        <w:tc>
          <w:tcPr>
            <w:tcW w:type="dxa" w:w="1296"/>
            <w:shd w:val="clear" w:color="auto" w:fill="F0FFF0"/>
          </w:tcPr>
          <w:p>
            <w:r/>
            <w:r>
              <w:rPr>
                <w:sz w:val="17"/>
              </w:rPr>
              <w:t>需求临时变更</w:t>
            </w:r>
          </w:p>
        </w:tc>
        <w:tc>
          <w:tcPr>
            <w:tcW w:type="dxa" w:w="1296"/>
            <w:shd w:val="clear" w:color="auto" w:fill="F0FFF0"/>
          </w:tcPr>
          <w:p>
            <w:pPr>
              <w:jc w:val="center"/>
            </w:pPr>
            <w:r/>
            <w:r>
              <w:rPr>
                <w:sz w:val="17"/>
              </w:rPr>
              <w:t>★低</w:t>
            </w:r>
          </w:p>
        </w:tc>
        <w:tc>
          <w:tcPr>
            <w:tcW w:type="dxa" w:w="1296"/>
            <w:shd w:val="clear" w:color="auto" w:fill="F0FFF0"/>
          </w:tcPr>
          <w:p>
            <w:pPr>
              <w:jc w:val="center"/>
            </w:pPr>
            <w:r/>
            <w:r>
              <w:rPr>
                <w:sz w:val="17"/>
              </w:rPr>
              <w:t>接受</w:t>
              <w:br/>
              <w:t>+减轻</w:t>
            </w:r>
          </w:p>
        </w:tc>
        <w:tc>
          <w:tcPr>
            <w:tcW w:type="dxa" w:w="1296"/>
            <w:shd w:val="clear" w:color="auto" w:fill="F0FFF0"/>
          </w:tcPr>
          <w:p>
            <w:r/>
            <w:r>
              <w:rPr>
                <w:sz w:val="17"/>
              </w:rPr>
              <w:t>① 变更需经组长审批，记录变更原因和影响</w:t>
              <w:br/>
              <w:t>② 对变更评估工期影响，超过1天需调整后续计划</w:t>
              <w:br/>
              <w:t>③ 保持最小可行版本（MVP），控制变更范围</w:t>
            </w:r>
          </w:p>
        </w:tc>
        <w:tc>
          <w:tcPr>
            <w:tcW w:type="dxa" w:w="1296"/>
            <w:shd w:val="clear" w:color="auto" w:fill="F0FFF0"/>
          </w:tcPr>
          <w:p>
            <w:r/>
            <w:r>
              <w:rPr>
                <w:sz w:val="17"/>
              </w:rPr>
              <w:t>马鑫（审批）</w:t>
              <w:br/>
              <w:t>全体</w:t>
            </w:r>
          </w:p>
        </w:tc>
        <w:tc>
          <w:tcPr>
            <w:tcW w:type="dxa" w:w="1296"/>
            <w:shd w:val="clear" w:color="auto" w:fill="F0FFF0"/>
          </w:tcPr>
          <w:p>
            <w:r/>
            <w:r>
              <w:rPr>
                <w:sz w:val="17"/>
              </w:rPr>
              <w:t>收到正式变更请求</w:t>
            </w:r>
          </w:p>
        </w:tc>
      </w:tr>
      <w:tr>
        <w:tc>
          <w:tcPr>
            <w:tcW w:type="dxa" w:w="1296"/>
            <w:shd w:val="clear" w:color="auto" w:fill="F0FFF0"/>
          </w:tcPr>
          <w:p>
            <w:pPr>
              <w:jc w:val="center"/>
            </w:pPr>
            <w:r/>
            <w:r>
              <w:rPr>
                <w:b/>
                <w:sz w:val="17"/>
              </w:rPr>
              <w:t>R8</w:t>
            </w:r>
          </w:p>
        </w:tc>
        <w:tc>
          <w:tcPr>
            <w:tcW w:type="dxa" w:w="1296"/>
            <w:shd w:val="clear" w:color="auto" w:fill="F0FFF0"/>
          </w:tcPr>
          <w:p>
            <w:r/>
            <w:r>
              <w:rPr>
                <w:sz w:val="17"/>
              </w:rPr>
              <w:t>数据隐私风险</w:t>
            </w:r>
          </w:p>
        </w:tc>
        <w:tc>
          <w:tcPr>
            <w:tcW w:type="dxa" w:w="1296"/>
            <w:shd w:val="clear" w:color="auto" w:fill="F0FFF0"/>
          </w:tcPr>
          <w:p>
            <w:pPr>
              <w:jc w:val="center"/>
            </w:pPr>
            <w:r/>
            <w:r>
              <w:rPr>
                <w:sz w:val="17"/>
              </w:rPr>
              <w:t>★低</w:t>
            </w:r>
          </w:p>
        </w:tc>
        <w:tc>
          <w:tcPr>
            <w:tcW w:type="dxa" w:w="1296"/>
            <w:shd w:val="clear" w:color="auto" w:fill="F0FFF0"/>
          </w:tcPr>
          <w:p>
            <w:pPr>
              <w:jc w:val="center"/>
            </w:pPr>
            <w:r/>
            <w:r>
              <w:rPr>
                <w:sz w:val="17"/>
              </w:rPr>
              <w:t>减轻</w:t>
              <w:br/>
              <w:t>+接受</w:t>
            </w:r>
          </w:p>
        </w:tc>
        <w:tc>
          <w:tcPr>
            <w:tcW w:type="dxa" w:w="1296"/>
            <w:shd w:val="clear" w:color="auto" w:fill="F0FFF0"/>
          </w:tcPr>
          <w:p>
            <w:r/>
            <w:r>
              <w:rPr>
                <w:sz w:val="17"/>
              </w:rPr>
              <w:t>① 默认使用本地模型，避免屏幕内容上传云端</w:t>
              <w:br/>
              <w:t>② API模式下对识别内容进行本地缓存，不长期存储</w:t>
              <w:br/>
              <w:t>③ 在用户手册中明确隐私说明</w:t>
            </w:r>
          </w:p>
        </w:tc>
        <w:tc>
          <w:tcPr>
            <w:tcW w:type="dxa" w:w="1296"/>
            <w:shd w:val="clear" w:color="auto" w:fill="F0FFF0"/>
          </w:tcPr>
          <w:p>
            <w:r/>
            <w:r>
              <w:rPr>
                <w:sz w:val="17"/>
              </w:rPr>
              <w:t>梁艺馨</w:t>
            </w:r>
          </w:p>
        </w:tc>
        <w:tc>
          <w:tcPr>
            <w:tcW w:type="dxa" w:w="1296"/>
            <w:shd w:val="clear" w:color="auto" w:fill="F0FFF0"/>
          </w:tcPr>
          <w:p>
            <w:r/>
            <w:r>
              <w:rPr>
                <w:sz w:val="17"/>
              </w:rPr>
              <w:t>发现隐私内容被上传或存储</w:t>
            </w:r>
          </w:p>
        </w:tc>
      </w:tr>
    </w:tbl>
    <w:p>
      <w:pPr>
        <w:pStyle w:val="Heading2"/>
        <w:jc w:val="left"/>
      </w:pPr>
      <w:r>
        <w:rPr>
          <w:color w:val="1F3864"/>
        </w:rPr>
        <w:t>5.2 高优先级风险详细应对方案</w:t>
      </w:r>
    </w:p>
    <w:p>
      <w:r>
        <w:rPr>
          <w:b/>
          <w:sz w:val="21"/>
        </w:rPr>
        <w:t>▶ R4 AI模型兼容性差——详细应对方案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预防措施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项目第3天（4月20日）前，各成员在自己的开发机上完成以下模型的安装测试：INDEX-TTS、GPT-SOVIT、Qwen3-TTS（API模式）、PaddleOCR、DeepSeek/Qwen（API模式）。安装失败的记录错误信息并立即上报。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备用方案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为每个功能模块准备至少2个可用模型：</w:t>
              <w:br/>
              <w:t>· TTS：INDEX-TTS（首选）→ Qwen3-TTS API → Edge-TTS（备用）</w:t>
              <w:br/>
              <w:t>· OCR：PaddleOCR（首选）→ Tesseract → EasyOCR</w:t>
              <w:br/>
              <w:t>· LLM：DeepSeek API（首选）→ Qwen API → 本地Ollama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应急响应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如开发过程中主选模型失效：</w:t>
              <w:br/>
              <w:t>① 立即切换备用模型（耗时≤2小时）</w:t>
              <w:br/>
              <w:t>② 通知项目经理评估影响范围</w:t>
              <w:br/>
              <w:t>③ 若影响关键路径，启动时间缓冲（预留2天）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验收标准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系统集成（任务G）开始前，所有模块的主选和至少1个备用模型可正常调用。</w:t>
            </w:r>
          </w:p>
        </w:tc>
      </w:tr>
    </w:tbl>
    <w:p/>
    <w:p>
      <w:r>
        <w:rPr>
          <w:b/>
          <w:sz w:val="21"/>
        </w:rPr>
        <w:t>▶ R1 OCR识别准确率不足——详细应对方案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测试基准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以游戏界面截图（100张）作为测试集，基准要求：识别准确率≥90%，识别延迟≤2s/帧。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图像预处理管线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① 灰度化 → ② 自适应二值化（Otsu算法）→ ③ 高斯降噪 → ④ 形态学处理 → ⑤ OCR识别。</w:t>
              <w:br/>
              <w:t>对复杂背景图像额外进行边缘增强。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多引擎策略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主引擎：PaddleOCR（中英文混合效果好）；备用引擎：Tesseract（字体清晰场景）；专用场景：截图大模型识别（复杂游戏UI）。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降级策略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若准确率80%-90%：调整预处理参数，提示用户"识别质量较低"；若&lt;80%：弹窗提示用户手动框选清晰区域。</w:t>
            </w:r>
          </w:p>
        </w:tc>
      </w:tr>
    </w:tbl>
    <w:p/>
    <w:p>
      <w:r>
        <w:rPr>
          <w:b/>
          <w:sz w:val="21"/>
        </w:rPr>
        <w:t>▶ R10 多模块集成联调失败——详细应对方案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接口规范文档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开发阶段（任务C/D/E/F）启动前，由马鑫主导，各模块负责人共同制定《模块接口规范说明书》，明确：数据格式（文本/音频/配置）、调用方式（函数调用/HTTP）、错误码和异常处理。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Mock开发策略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开发期间各模块通过Mock接口进行独立测试，不依赖其他模块完成。Mock接口与正式接口保持一致，降低集成风险。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渐进式集成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按照"两两集成→三模块集成→全量集成"的渐进策略：</w:t>
              <w:br/>
              <w:t>阶段1（5.2-5.4）：OCR+TTS联调；大模型+TTS联调</w:t>
              <w:br/>
              <w:t>阶段2（5.4-5.6）：三模块+前端联调</w:t>
              <w:br/>
              <w:t>阶段3（5.6-5.7）：全量集成测试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应急时间缓冲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lab3时间计划中系统集成任务G标准工期5天（5.3-5.7），风险应对预留2天缓冲（最迟5.9日完成集成），确保测试任务H（4天）和总结任务I（3天）不受影响。</w:t>
            </w:r>
          </w:p>
        </w:tc>
      </w:tr>
    </w:tbl>
    <w:p>
      <w:pPr>
        <w:pStyle w:val="Heading2"/>
        <w:jc w:val="left"/>
      </w:pPr>
      <w:r>
        <w:rPr>
          <w:color w:val="1F3864"/>
        </w:rPr>
        <w:t>5.3 风险储备金预算</w:t>
      </w:r>
    </w:p>
    <w:p>
      <w:r>
        <w:rPr>
          <w:b w:val="0"/>
          <w:sz w:val="21"/>
        </w:rPr>
        <w:t>基于EMV定量分析结果，制定以下应急储备方案：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储备类型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金额/时间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审批权限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9"/>
              </w:rPr>
              <w:t>时间应急储备（管理层）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sz w:val="19"/>
              </w:rPr>
              <w:t>2天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sz w:val="19"/>
              </w:rPr>
              <w:t>应对高不确定性风险（R4/R10），由项目经理统一调配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sz w:val="19"/>
              </w:rPr>
              <w:t>项目经理（马鑫）批准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r/>
            <w:r>
              <w:rPr>
                <w:sz w:val="19"/>
              </w:rPr>
              <w:t>时间应急储备（已知风险）</w:t>
            </w:r>
          </w:p>
        </w:tc>
        <w:tc>
          <w:tcPr>
            <w:tcW w:type="dxa" w:w="2268"/>
            <w:shd w:val="clear" w:color="auto" w:fill="F2F7FF"/>
          </w:tcPr>
          <w:p>
            <w:r/>
            <w:r>
              <w:rPr>
                <w:sz w:val="19"/>
              </w:rPr>
              <w:t>4天</w:t>
            </w:r>
          </w:p>
        </w:tc>
        <w:tc>
          <w:tcPr>
            <w:tcW w:type="dxa" w:w="2268"/>
            <w:shd w:val="clear" w:color="auto" w:fill="F2F7FF"/>
          </w:tcPr>
          <w:p>
            <w:r/>
            <w:r>
              <w:rPr>
                <w:sz w:val="19"/>
              </w:rPr>
              <w:t>应对已识别风险（R1/R2/R5），在各任务工期估算中嵌入</w:t>
            </w:r>
          </w:p>
        </w:tc>
        <w:tc>
          <w:tcPr>
            <w:tcW w:type="dxa" w:w="2268"/>
            <w:shd w:val="clear" w:color="auto" w:fill="F2F7FF"/>
          </w:tcPr>
          <w:p>
            <w:r/>
            <w:r>
              <w:rPr>
                <w:sz w:val="19"/>
              </w:rPr>
              <w:t>无需审批，已内嵌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9"/>
              </w:rPr>
              <w:t>成本应急储备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sz w:val="19"/>
              </w:rPr>
              <w:t>100元（已有预算内）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sz w:val="19"/>
              </w:rPr>
              <w:t>主要用于R3（API额度耗尽）应急追加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sz w:val="19"/>
              </w:rPr>
              <w:t>项目经理批准</w:t>
            </w:r>
          </w:p>
        </w:tc>
      </w:tr>
      <w:tr>
        <w:tc>
          <w:tcPr>
            <w:tcW w:type="dxa" w:w="2268"/>
            <w:shd w:val="clear" w:color="auto" w:fill="FFF0F0"/>
          </w:tcPr>
          <w:p>
            <w:r/>
            <w:r>
              <w:rPr>
                <w:b/>
                <w:sz w:val="19"/>
              </w:rPr>
              <w:t>总计</w:t>
            </w:r>
          </w:p>
        </w:tc>
        <w:tc>
          <w:tcPr>
            <w:tcW w:type="dxa" w:w="2268"/>
            <w:shd w:val="clear" w:color="auto" w:fill="FFF0F0"/>
          </w:tcPr>
          <w:p>
            <w:r/>
            <w:r>
              <w:rPr>
                <w:b/>
                <w:sz w:val="19"/>
              </w:rPr>
              <w:t>6天+100元</w:t>
            </w:r>
          </w:p>
        </w:tc>
        <w:tc>
          <w:tcPr>
            <w:tcW w:type="dxa" w:w="2268"/>
            <w:shd w:val="clear" w:color="auto" w:fill="FFF0F0"/>
          </w:tcPr>
          <w:p>
            <w:r/>
            <w:r>
              <w:rPr>
                <w:b/>
                <w:sz w:val="19"/>
              </w:rPr>
              <w:t>占项目标准工期（26天）的23%，属合理范围</w:t>
            </w:r>
          </w:p>
        </w:tc>
        <w:tc>
          <w:tcPr>
            <w:tcW w:type="dxa" w:w="2268"/>
            <w:shd w:val="clear" w:color="auto" w:fill="FFF0F0"/>
          </w:tcPr>
          <w:p>
            <w:r/>
            <w:r>
              <w:rPr>
                <w:b/>
                <w:sz w:val="19"/>
              </w:rPr>
              <w:t>—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六、风险监控计划</w:t>
      </w:r>
    </w:p>
    <w:p>
      <w:r>
        <w:rPr>
          <w:b w:val="0"/>
          <w:sz w:val="21"/>
        </w:rPr>
        <w:t>风险监控是贯穿整个项目生命周期的持续性活动，目的是跟踪已识别风险的状态变化、识别新风险、验证应对措施的有效性，并在必要时更新风险登记册。</w:t>
      </w:r>
    </w:p>
    <w:p>
      <w:pPr>
        <w:pStyle w:val="Heading2"/>
        <w:jc w:val="left"/>
      </w:pPr>
      <w:r>
        <w:rPr>
          <w:color w:val="1F3864"/>
        </w:rPr>
        <w:t>6.1 监控活动与频率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监控活动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输出物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风险状态检查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每日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各模块负责人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风险日志更新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在每日开发中观察风险触发迹象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风险例会审查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每周一次</w:t>
              <w:br/>
              <w:t>（项目期间共3次）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马鑫（主持）</w:t>
              <w:br/>
              <w:t>全体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风险审查报告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讨论风险变化，评估应对措施效果，识别新风险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里程碑风险评估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每个里程碑前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马鑫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里程碑风险评估单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结合里程碑完成情况，重新评估后续风险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应对措施有效性验证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应对措施实施后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对应责任人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有效性验证记录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确认措施是否达到预期效果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风险登记册更新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有变化即更新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马鑫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更新的风险登记册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新增、关闭或调整风险优先级</w:t>
            </w:r>
          </w:p>
        </w:tc>
      </w:tr>
    </w:tbl>
    <w:p>
      <w:pPr>
        <w:pStyle w:val="Heading2"/>
        <w:jc w:val="left"/>
      </w:pPr>
      <w:r>
        <w:rPr>
          <w:color w:val="1F3864"/>
        </w:rPr>
        <w:t>6.2 风险监控指标（KRI）</w:t>
      </w:r>
    </w:p>
    <w:p>
      <w:r>
        <w:rPr>
          <w:b w:val="0"/>
          <w:sz w:val="21"/>
        </w:rPr>
        <w:t>设定以下关键风险指标（KRI），实现量化预警：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绿色（正常）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黄色（预警）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红色（告警）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关联风险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任务进度偏差</w:t>
            </w:r>
          </w:p>
        </w:tc>
        <w:tc>
          <w:tcPr>
            <w:tcW w:type="dxa" w:w="1814"/>
            <w:shd w:val="clear" w:color="auto" w:fill="E8FFE8"/>
          </w:tcPr>
          <w:p>
            <w:pPr>
              <w:jc w:val="center"/>
            </w:pPr>
            <w:r/>
            <w:r>
              <w:rPr>
                <w:sz w:val="19"/>
              </w:rPr>
              <w:t>≤0</w:t>
            </w:r>
          </w:p>
        </w:tc>
        <w:tc>
          <w:tcPr>
            <w:tcW w:type="dxa" w:w="1814"/>
            <w:shd w:val="clear" w:color="auto" w:fill="FFFFF0"/>
          </w:tcPr>
          <w:p>
            <w:pPr>
              <w:jc w:val="center"/>
            </w:pPr>
            <w:r/>
            <w:r>
              <w:rPr>
                <w:sz w:val="19"/>
              </w:rPr>
              <w:t>&gt;0（超期）</w:t>
            </w:r>
          </w:p>
        </w:tc>
        <w:tc>
          <w:tcPr>
            <w:tcW w:type="dxa" w:w="1814"/>
            <w:shd w:val="clear" w:color="auto" w:fill="FFE8E8"/>
          </w:tcPr>
          <w:p>
            <w:pPr>
              <w:jc w:val="center"/>
            </w:pPr>
            <w:r/>
            <w:r>
              <w:rPr>
                <w:sz w:val="19"/>
              </w:rPr>
              <w:t>&gt;2天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R5/R10/R4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OCR准确率（测试集）</w:t>
            </w:r>
          </w:p>
        </w:tc>
        <w:tc>
          <w:tcPr>
            <w:tcW w:type="dxa" w:w="1814"/>
            <w:shd w:val="clear" w:color="auto" w:fill="E8FFE8"/>
          </w:tcPr>
          <w:p>
            <w:pPr>
              <w:jc w:val="center"/>
            </w:pPr>
            <w:r/>
            <w:r>
              <w:rPr>
                <w:sz w:val="19"/>
              </w:rPr>
              <w:t>≥90%</w:t>
            </w:r>
          </w:p>
        </w:tc>
        <w:tc>
          <w:tcPr>
            <w:tcW w:type="dxa" w:w="1814"/>
            <w:shd w:val="clear" w:color="auto" w:fill="FFFFF0"/>
          </w:tcPr>
          <w:p>
            <w:pPr>
              <w:jc w:val="center"/>
            </w:pPr>
            <w:r/>
            <w:r>
              <w:rPr>
                <w:sz w:val="19"/>
              </w:rPr>
              <w:t>85%-90%</w:t>
            </w:r>
          </w:p>
        </w:tc>
        <w:tc>
          <w:tcPr>
            <w:tcW w:type="dxa" w:w="1814"/>
            <w:shd w:val="clear" w:color="auto" w:fill="FFE8E8"/>
          </w:tcPr>
          <w:p>
            <w:pPr>
              <w:jc w:val="center"/>
            </w:pPr>
            <w:r/>
            <w:r>
              <w:rPr>
                <w:sz w:val="19"/>
              </w:rPr>
              <w:t>&lt;85%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R1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TTS延迟（平均）</w:t>
            </w:r>
          </w:p>
        </w:tc>
        <w:tc>
          <w:tcPr>
            <w:tcW w:type="dxa" w:w="1814"/>
            <w:shd w:val="clear" w:color="auto" w:fill="E8FFE8"/>
          </w:tcPr>
          <w:p>
            <w:pPr>
              <w:jc w:val="center"/>
            </w:pPr>
            <w:r/>
            <w:r>
              <w:rPr>
                <w:sz w:val="19"/>
              </w:rPr>
              <w:t>≤5s</w:t>
            </w:r>
          </w:p>
        </w:tc>
        <w:tc>
          <w:tcPr>
            <w:tcW w:type="dxa" w:w="1814"/>
            <w:shd w:val="clear" w:color="auto" w:fill="FFFFF0"/>
          </w:tcPr>
          <w:p>
            <w:pPr>
              <w:jc w:val="center"/>
            </w:pPr>
            <w:r/>
            <w:r>
              <w:rPr>
                <w:sz w:val="19"/>
              </w:rPr>
              <w:t>5s-8s</w:t>
            </w:r>
          </w:p>
        </w:tc>
        <w:tc>
          <w:tcPr>
            <w:tcW w:type="dxa" w:w="1814"/>
            <w:shd w:val="clear" w:color="auto" w:fill="FFE8E8"/>
          </w:tcPr>
          <w:p>
            <w:pPr>
              <w:jc w:val="center"/>
            </w:pPr>
            <w:r/>
            <w:r>
              <w:rPr>
                <w:sz w:val="19"/>
              </w:rPr>
              <w:t>&gt;8s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R2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API调用花费</w:t>
            </w:r>
          </w:p>
        </w:tc>
        <w:tc>
          <w:tcPr>
            <w:tcW w:type="dxa" w:w="1814"/>
            <w:shd w:val="clear" w:color="auto" w:fill="E8FFE8"/>
          </w:tcPr>
          <w:p>
            <w:pPr>
              <w:jc w:val="center"/>
            </w:pPr>
            <w:r/>
            <w:r>
              <w:rPr>
                <w:sz w:val="19"/>
              </w:rPr>
              <w:t>≤50元</w:t>
            </w:r>
          </w:p>
        </w:tc>
        <w:tc>
          <w:tcPr>
            <w:tcW w:type="dxa" w:w="1814"/>
            <w:shd w:val="clear" w:color="auto" w:fill="FFFFF0"/>
          </w:tcPr>
          <w:p>
            <w:pPr>
              <w:jc w:val="center"/>
            </w:pPr>
            <w:r/>
            <w:r>
              <w:rPr>
                <w:sz w:val="19"/>
              </w:rPr>
              <w:t>50-80元</w:t>
            </w:r>
          </w:p>
        </w:tc>
        <w:tc>
          <w:tcPr>
            <w:tcW w:type="dxa" w:w="1814"/>
            <w:shd w:val="clear" w:color="auto" w:fill="FFE8E8"/>
          </w:tcPr>
          <w:p>
            <w:pPr>
              <w:jc w:val="center"/>
            </w:pPr>
            <w:r/>
            <w:r>
              <w:rPr>
                <w:sz w:val="19"/>
              </w:rPr>
              <w:t>&gt;80元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R3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Bug未修复数量</w:t>
            </w:r>
          </w:p>
        </w:tc>
        <w:tc>
          <w:tcPr>
            <w:tcW w:type="dxa" w:w="1814"/>
            <w:shd w:val="clear" w:color="auto" w:fill="E8FFE8"/>
          </w:tcPr>
          <w:p>
            <w:pPr>
              <w:jc w:val="center"/>
            </w:pPr>
            <w:r/>
            <w:r>
              <w:rPr>
                <w:sz w:val="19"/>
              </w:rPr>
              <w:t>≤5个</w:t>
            </w:r>
          </w:p>
        </w:tc>
        <w:tc>
          <w:tcPr>
            <w:tcW w:type="dxa" w:w="1814"/>
            <w:shd w:val="clear" w:color="auto" w:fill="FFFFF0"/>
          </w:tcPr>
          <w:p>
            <w:pPr>
              <w:jc w:val="center"/>
            </w:pPr>
            <w:r/>
            <w:r>
              <w:rPr>
                <w:sz w:val="19"/>
              </w:rPr>
              <w:t>5-15个</w:t>
            </w:r>
          </w:p>
        </w:tc>
        <w:tc>
          <w:tcPr>
            <w:tcW w:type="dxa" w:w="1814"/>
            <w:shd w:val="clear" w:color="auto" w:fill="FFE8E8"/>
          </w:tcPr>
          <w:p>
            <w:pPr>
              <w:jc w:val="center"/>
            </w:pPr>
            <w:r/>
            <w:r>
              <w:rPr>
                <w:sz w:val="19"/>
              </w:rPr>
              <w:t>&gt;15个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R9/R10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每日代码提交率</w:t>
            </w:r>
          </w:p>
        </w:tc>
        <w:tc>
          <w:tcPr>
            <w:tcW w:type="dxa" w:w="1814"/>
            <w:shd w:val="clear" w:color="auto" w:fill="E8FFE8"/>
          </w:tcPr>
          <w:p>
            <w:pPr>
              <w:jc w:val="center"/>
            </w:pPr>
            <w:r/>
            <w:r>
              <w:rPr>
                <w:sz w:val="19"/>
              </w:rPr>
              <w:t>≥80%（有提交）</w:t>
            </w:r>
          </w:p>
        </w:tc>
        <w:tc>
          <w:tcPr>
            <w:tcW w:type="dxa" w:w="1814"/>
            <w:shd w:val="clear" w:color="auto" w:fill="FFFFF0"/>
          </w:tcPr>
          <w:p>
            <w:pPr>
              <w:jc w:val="center"/>
            </w:pPr>
            <w:r/>
            <w:r>
              <w:rPr>
                <w:sz w:val="19"/>
              </w:rPr>
              <w:t>40%-80%</w:t>
            </w:r>
          </w:p>
        </w:tc>
        <w:tc>
          <w:tcPr>
            <w:tcW w:type="dxa" w:w="1814"/>
            <w:shd w:val="clear" w:color="auto" w:fill="FFE8E8"/>
          </w:tcPr>
          <w:p>
            <w:pPr>
              <w:jc w:val="center"/>
            </w:pPr>
            <w:r/>
            <w:r>
              <w:rPr>
                <w:sz w:val="19"/>
              </w:rPr>
              <w:t>&lt;40%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R5</w:t>
            </w:r>
          </w:p>
        </w:tc>
      </w:tr>
    </w:tbl>
    <w:p>
      <w:pPr>
        <w:pStyle w:val="Heading2"/>
        <w:jc w:val="left"/>
      </w:pPr>
      <w:r>
        <w:rPr>
          <w:color w:val="1F3864"/>
        </w:rPr>
        <w:t>6.3 风险监控流程</w:t>
      </w:r>
    </w:p>
    <w:p>
      <w:pPr>
        <w:ind w:left="283"/>
      </w:pPr>
      <w:r>
        <w:rPr>
          <w:rFonts w:ascii="Courier New" w:hAnsi="Courier New"/>
          <w:sz w:val="18"/>
        </w:rPr>
        <w:t>风险监控工作流：</w:t>
        <w:br/>
        <w:t>┌─────────────────────────────────────────────────────────┐</w:t>
        <w:br/>
        <w:t>│  日常观测 → 触发条件判断 → 是否触发？                    │</w:t>
        <w:br/>
        <w:t>│       ↓                                                   │</w:t>
        <w:br/>
        <w:t>│    是：立即上报项目经理                                   │</w:t>
        <w:br/>
        <w:t>│       ↓                                                   │</w:t>
        <w:br/>
        <w:t>│    评估影响（工期/质量/成本）                             │</w:t>
        <w:br/>
        <w:t>│       ↓                                                   │</w:t>
        <w:br/>
        <w:t>│    启动应对计划（预防措施→应急响应→降级方案）            │</w:t>
        <w:br/>
        <w:t>│       ↓                                                   │</w:t>
        <w:br/>
        <w:t>│    执行后验证 → 有效？→ 是：更新风险登记册（已关闭）     │</w:t>
        <w:br/>
        <w:t>│                    ↓                                      │</w:t>
        <w:br/>
        <w:t>│                   否：升级处理，调整应对方案              │</w:t>
        <w:br/>
        <w:t>│                                                           │</w:t>
        <w:br/>
        <w:t>│  每周例会：汇总风险状态，识别新风险，更新优先级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七、附录</w:t>
      </w:r>
    </w:p>
    <w:p>
      <w:pPr>
        <w:pStyle w:val="Heading2"/>
        <w:jc w:val="left"/>
      </w:pPr>
      <w:r>
        <w:rPr>
          <w:color w:val="1F3864"/>
        </w:rPr>
        <w:t>附录A：风险识别核查表</w:t>
      </w:r>
    </w:p>
    <w:p>
      <w:r>
        <w:rPr>
          <w:b w:val="0"/>
          <w:sz w:val="21"/>
        </w:rPr>
        <w:t>下表为本项目使用的风险识别核查表，"✓"表示该类风险已在本项目中识别：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风险类别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典型风险项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本项目适用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已识别风险编号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技术风险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AI模型兼容性/精度/延迟问题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R1/R2/R4/R9/R10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进度风险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关键路径延误/人员能力不足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资源风险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计算资源/API额度/经费超支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R3/R7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需求风险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需求变更/范围蔓延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质量风险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集成测试失败/缺陷积压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R10/R9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外部风险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开源模型停更/依赖库冲突/隐私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R8/R4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管理风险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分工不合理/进度监控不及时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部分适用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包含在R5中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法律合规风险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开源许可证冲突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低风险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未单独列出</w:t>
            </w:r>
          </w:p>
        </w:tc>
      </w:tr>
    </w:tbl>
    <w:p>
      <w:pPr>
        <w:pStyle w:val="Heading2"/>
        <w:jc w:val="left"/>
      </w:pPr>
      <w:r>
        <w:rPr>
          <w:color w:val="1F3864"/>
        </w:rPr>
        <w:t>附录B：风险登记册模板（持续更新）</w:t>
      </w:r>
    </w:p>
    <w:p>
      <w:r>
        <w:rPr>
          <w:b w:val="0"/>
          <w:sz w:val="21"/>
        </w:rPr>
        <w:t>风险登记册在项目期间持续维护，字段说明如下：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453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风险ID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唯一标识符（R1-Rn）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风险名称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简洁描述风险内容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风险类别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技术/进度/资源/需求/质量/外部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风险描述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详细说明风险内容、触发条件和潜在影响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发生概率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0.1/0.3/0.5/0.7/0.9（五档评估）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影响程度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低(0.05)/中(0.1)/高(0.2)（三档评估）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风险评分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发生概率×影响程度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高（≥0.14）/中（0.05-0.14）/低（&lt;0.05）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规避/转移/减轻/接受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应对措施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具体操作步骤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责任人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负责跟踪和应对的成员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启动应急响应的具体条件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当前状态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待观测/已触发/已关闭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最后更新时间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每次状态变化时更新</w:t>
            </w:r>
          </w:p>
        </w:tc>
      </w:tr>
    </w:tbl>
    <w:p>
      <w:pPr>
        <w:pStyle w:val="Heading2"/>
        <w:jc w:val="left"/>
      </w:pPr>
      <w:r>
        <w:rPr>
          <w:color w:val="1F3864"/>
        </w:rPr>
        <w:t>附录C：参考资料</w:t>
      </w:r>
    </w:p>
    <w:p>
      <w:pPr>
        <w:ind w:left="420"/>
      </w:pPr>
      <w:r>
        <w:rPr>
          <w:b w:val="0"/>
          <w:sz w:val="21"/>
        </w:rPr>
        <w:t>[1] Project Management Institute. A Guide to the Project Management Body of Knowledge (PMBOK® Guide) — Sixth Edition. 2017.</w:t>
      </w:r>
    </w:p>
    <w:p>
      <w:pPr>
        <w:ind w:left="420"/>
      </w:pPr>
      <w:r>
        <w:rPr>
          <w:b w:val="0"/>
          <w:sz w:val="21"/>
        </w:rPr>
        <w:t>[2] 骰子队 lab1：《项目初步建议书》——屏幕识别配音助手.</w:t>
      </w:r>
    </w:p>
    <w:p>
      <w:pPr>
        <w:ind w:left="420"/>
      </w:pPr>
      <w:r>
        <w:rPr>
          <w:b w:val="0"/>
          <w:sz w:val="21"/>
        </w:rPr>
        <w:t>[3] 骰子队 lab2：《可行性分析与任务结构分解》——包括WBS、人员可行性、技术路线.</w:t>
      </w:r>
    </w:p>
    <w:p>
      <w:pPr>
        <w:ind w:left="420"/>
      </w:pPr>
      <w:r>
        <w:rPr>
          <w:b w:val="0"/>
          <w:sz w:val="21"/>
        </w:rPr>
        <w:t>[4] 骰子队 lab3：《编制时间计划》——关键路径（26天）、里程碑、项目拖延风险鱼骨图.</w:t>
      </w:r>
    </w:p>
    <w:p>
      <w:pPr>
        <w:ind w:left="420"/>
      </w:pPr>
      <w:r>
        <w:rPr>
          <w:b w:val="0"/>
          <w:sz w:val="21"/>
        </w:rPr>
        <w:t>[5] 骰子队 lab4：《质量计划》——质量目标（OCR≥90%，TTS≤5s）、质量风险与应对.</w:t>
      </w:r>
    </w:p>
    <w:p>
      <w:pPr>
        <w:ind w:left="420"/>
      </w:pPr>
      <w:r>
        <w:rPr>
          <w:b w:val="0"/>
          <w:sz w:val="21"/>
        </w:rPr>
        <w:t>[6] 梁艺馨 lab5（理论部分）：风险定量/定性分析方法说明.</w:t>
      </w:r>
    </w:p>
    <w:p>
      <w:pPr>
        <w:ind w:left="420"/>
      </w:pPr>
      <w:r>
        <w:rPr>
          <w:b w:val="0"/>
          <w:sz w:val="21"/>
        </w:rPr>
        <w:t>[7] 王婧晋 lab5（理论部分）：风险应对策略与风险监控方法.</w:t>
      </w:r>
    </w:p>
    <w:p/>
    <w:p>
      <w:pPr>
        <w:jc w:val="center"/>
      </w:pPr>
      <w:r>
        <w:rPr>
          <w:color w:val="7F7F7F"/>
          <w:sz w:val="18"/>
        </w:rPr>
        <w:t>— 骰子队 · 屏幕识别配音助手 · 项目风险管理计划 · 2026年5月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