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D6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案例一</w:t>
      </w:r>
    </w:p>
    <w:p w14:paraId="64D37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372AF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解耦部门编码与主键：引入内部唯一标识作为部门主键，部门编码改为属性，支持编码变更而不影响关联数据。</w:t>
      </w:r>
    </w:p>
    <w:p w14:paraId="7DE352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建立部门历史映射表：记录部门编码变更前后的对应关系及生效时间，保留组织机构调整痕迹，支持业务数据追溯。</w:t>
      </w:r>
    </w:p>
    <w:p w14:paraId="0BE1B4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抽象部门关系规则：将友好/互斥关系从硬编码改为配置化，如关系表或规则引擎，便于动态调整，避免代码修改。</w:t>
      </w:r>
    </w:p>
    <w:p w14:paraId="1E3B95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重构业务逻辑：将依赖具体编码的判断逻辑改为基于部门属性或关系表查询，减少对固定编码的耦合。</w:t>
      </w:r>
    </w:p>
    <w:p w14:paraId="63E975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设计可扩展的组织结构模型：支持多版本组织机构树，允许按时间切片查询历史结构，适应未来调整而不需升级。</w:t>
      </w:r>
    </w:p>
    <w:p w14:paraId="2D8C6F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数据迁移与校验：编写数据迁移脚本，将业务数据中的旧编码映射到新部门内部ID，并进行一致性校验，确保不丢失数据。</w:t>
      </w:r>
    </w:p>
    <w:p w14:paraId="58B4123D">
      <w:pPr>
        <w:rPr>
          <w:rFonts w:hint="eastAsia"/>
          <w:lang w:val="en-US" w:eastAsia="zh-CN"/>
        </w:rPr>
      </w:pPr>
    </w:p>
    <w:p w14:paraId="1158D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</w:p>
    <w:p w14:paraId="78BDC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软件工程方面：</w:t>
      </w:r>
    </w:p>
    <w:p w14:paraId="52F4B2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采用增量与迭代开发，先搭建可扩展的核心模型，再逐步改造业务模块。</w:t>
      </w:r>
    </w:p>
    <w:p w14:paraId="2B7267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建立自动化测试，重点覆盖部门编码变更、关系判断、历史追溯场景。</w:t>
      </w:r>
    </w:p>
    <w:p w14:paraId="733100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进行代码重构与评审，消除硬编码，确保设计模式一致。</w:t>
      </w:r>
    </w:p>
    <w:p w14:paraId="33D3E9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使用版本控制与持续集成，管理新旧代码并存与迁移过程。</w:t>
      </w:r>
    </w:p>
    <w:p w14:paraId="3B317F46">
      <w:pPr>
        <w:rPr>
          <w:rFonts w:hint="eastAsia"/>
          <w:lang w:val="en-US" w:eastAsia="zh-CN"/>
        </w:rPr>
      </w:pPr>
    </w:p>
    <w:p w14:paraId="57A7C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项目管理方面：</w:t>
      </w:r>
    </w:p>
    <w:p w14:paraId="21271D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制定质量计划，明确关键质量目标及验收标准。</w:t>
      </w:r>
    </w:p>
    <w:p w14:paraId="2BE419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组织技术原型验证，降低设计风险。</w:t>
      </w:r>
    </w:p>
    <w:p w14:paraId="715F19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加强配置管理与变更控制，对部门关系重新定义等变更进行影响分析。</w:t>
      </w:r>
    </w:p>
    <w:p w14:paraId="568C2C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设立里程碑评审，确保各阶段输出质量。</w:t>
      </w:r>
    </w:p>
    <w:p w14:paraId="5B3F68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识别质量风险，制定应对措施。</w:t>
      </w:r>
    </w:p>
    <w:p w14:paraId="522E4EDE">
      <w:pPr>
        <w:rPr>
          <w:rFonts w:hint="eastAsia"/>
          <w:lang w:val="en-US" w:eastAsia="zh-CN"/>
        </w:rPr>
      </w:pPr>
    </w:p>
    <w:p w14:paraId="5736D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案例二</w:t>
      </w:r>
    </w:p>
    <w:p w14:paraId="33AC561C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4001135" cy="2829560"/>
            <wp:effectExtent l="0" t="0" r="18415" b="8890"/>
            <wp:docPr id="1" name="图片 1" descr="{A8D3739A-18CA-4A8C-8DEC-13A1C015AA3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A8D3739A-18CA-4A8C-8DEC-13A1C015AA3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8CF0642">
      <w:pPr>
        <w:rPr>
          <w:rFonts w:hint="eastAsia"/>
          <w:lang w:val="en-US" w:eastAsia="zh-CN"/>
        </w:rPr>
      </w:pPr>
    </w:p>
    <w:p w14:paraId="07D8C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案例三</w:t>
      </w:r>
    </w:p>
    <w:p w14:paraId="4B691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.</w:t>
      </w:r>
    </w:p>
    <w:p w14:paraId="2B380C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先解决最影响使用的问题</w:t>
      </w:r>
      <w:r>
        <w:rPr>
          <w:rFonts w:hint="eastAsia"/>
          <w:lang w:val="en-US" w:eastAsia="zh-CN"/>
        </w:rPr>
        <w:t>，如</w:t>
      </w:r>
      <w:r>
        <w:rPr>
          <w:rFonts w:hint="default"/>
          <w:lang w:val="en-US" w:eastAsia="zh-CN"/>
        </w:rPr>
        <w:t>系统崩溃、响应慢，</w:t>
      </w:r>
      <w:r>
        <w:rPr>
          <w:rFonts w:hint="eastAsia"/>
          <w:lang w:val="en-US" w:eastAsia="zh-CN"/>
        </w:rPr>
        <w:t>并采取相应措施</w:t>
      </w:r>
      <w:r>
        <w:rPr>
          <w:rFonts w:hint="default"/>
          <w:lang w:val="en-US" w:eastAsia="zh-CN"/>
        </w:rPr>
        <w:t>。</w:t>
      </w:r>
    </w:p>
    <w:p w14:paraId="5EB3A5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收集数据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记录所有问题的类型、频率、影响人数。</w:t>
      </w:r>
    </w:p>
    <w:p w14:paraId="7576A9E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检查技术、数据、用户培训等问题</w:t>
      </w:r>
      <w:r>
        <w:rPr>
          <w:rFonts w:hint="eastAsia"/>
          <w:lang w:val="en-US" w:eastAsia="zh-CN"/>
        </w:rPr>
        <w:t>，找根本原因。</w:t>
      </w:r>
    </w:p>
    <w:p w14:paraId="358159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用帕累托分析找到最重要的20%原因优先处理。</w:t>
      </w:r>
    </w:p>
    <w:p w14:paraId="18A9C07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建立性能测试、上线前压力测试、用户培训、SLA监控等规范。</w:t>
      </w:r>
    </w:p>
    <w:p w14:paraId="152F472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对比改进前后数据，把有效措施写入公司流程。</w:t>
      </w:r>
    </w:p>
    <w:p w14:paraId="21521E99">
      <w:pPr>
        <w:rPr>
          <w:rFonts w:hint="default"/>
          <w:lang w:val="en-US" w:eastAsia="zh-CN"/>
        </w:rPr>
      </w:pPr>
    </w:p>
    <w:p w14:paraId="0BE1C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</w:p>
    <w:p w14:paraId="6ED624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明确问题及分类。</w:t>
      </w:r>
    </w:p>
    <w:p w14:paraId="090D28A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选择度量单位</w:t>
      </w:r>
      <w:r>
        <w:rPr>
          <w:rFonts w:hint="eastAsia"/>
          <w:lang w:val="en-US" w:eastAsia="zh-CN"/>
        </w:rPr>
        <w:t>，如</w:t>
      </w:r>
      <w:r>
        <w:rPr>
          <w:rFonts w:hint="default"/>
          <w:lang w:val="en-US" w:eastAsia="zh-CN"/>
        </w:rPr>
        <w:t>频次、影响时间、投诉数等。</w:t>
      </w:r>
    </w:p>
    <w:p w14:paraId="6318DE8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收集数据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固定时间段内记录每类问题次数。</w:t>
      </w:r>
    </w:p>
    <w:p w14:paraId="03F210C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按度量值从大到小排序，计算累计百分比。</w:t>
      </w:r>
    </w:p>
    <w:p w14:paraId="018BA34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绘制帕累托图。</w:t>
      </w:r>
    </w:p>
    <w:p w14:paraId="7C1FFA1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找出累计达80%的关键少数原因。</w:t>
      </w:r>
    </w:p>
    <w:p w14:paraId="547AB0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优先解决这些关键原因。</w:t>
      </w:r>
    </w:p>
    <w:p w14:paraId="07528C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改进后重新分析，验证效果。</w:t>
      </w:r>
    </w:p>
    <w:p w14:paraId="08D029A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A3C52"/>
    <w:rsid w:val="7F6E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2026-06-04T02:23:40Z</dcterms:created>
  <dc:creator>93412</dc:creator>
  <cp:lastModifiedBy>WPS_1687178579</cp:lastModifiedBy>
  <dcterms:modified xsi:type="dcterms:W3CDTF">2026-06-04T03:12:07Z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eyJoZGlkIjoiZjRiMzRmNjAwY2JkNGE3NGRjMzdjOGU4YjdmMGM2OWQiLCJ1c2VySWQiOiIxNTA1NTU3MzY1In0=</vt:lpwstr>
  </property>
  <property fmtid="{D5CDD505-2E9C-101B-9397-08002B2CF9AE}" pid="4" name="ICV">
    <vt:lpwstr>775F265D069E4BC295D693A341661962_12</vt:lpwstr>
  </property>
</Properties>
</file>