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425B5">
      <w:pPr>
        <w:pStyle w:val="199"/>
        <w:rPr>
          <w:sz w:val="24"/>
        </w:rPr>
      </w:pPr>
      <w:bookmarkStart w:id="0" w:name="_Toc99987707"/>
    </w:p>
    <w:p w14:paraId="0B32B9CF">
      <w:pPr>
        <w:pStyle w:val="199"/>
        <w:rPr>
          <w:sz w:val="24"/>
        </w:rPr>
      </w:pPr>
    </w:p>
    <w:p w14:paraId="6E32CEBB">
      <w:pPr>
        <w:pStyle w:val="199"/>
        <w:rPr>
          <w:sz w:val="24"/>
        </w:rPr>
      </w:pPr>
    </w:p>
    <w:p w14:paraId="74F569D4">
      <w:pPr>
        <w:pStyle w:val="199"/>
        <w:rPr>
          <w:sz w:val="24"/>
        </w:rPr>
      </w:pPr>
    </w:p>
    <w:p w14:paraId="41141989">
      <w:pPr>
        <w:pStyle w:val="199"/>
        <w:rPr>
          <w:sz w:val="24"/>
        </w:rPr>
      </w:pPr>
      <w:r>
        <w:rPr>
          <w:rFonts w:cs="Times New Roman" w:asciiTheme="minorEastAsia" w:hAnsiTheme="minorEastAsia" w:eastAsiaTheme="minorEastAsia"/>
          <w:sz w:val="72"/>
          <w:szCs w:val="72"/>
          <w:lang w:eastAsia="zh-CN"/>
        </w:rPr>
        <w:drawing>
          <wp:inline distT="0" distB="0" distL="0" distR="0">
            <wp:extent cx="2442210" cy="667385"/>
            <wp:effectExtent l="0" t="0" r="0" b="0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8410291">
      <w:pPr>
        <w:spacing w:before="480" w:beforeLines="200"/>
        <w:ind w:left="0"/>
        <w:jc w:val="center"/>
        <w:rPr>
          <w:rFonts w:ascii="宋体" w:hAnsi="宋体"/>
          <w:b/>
          <w:sz w:val="36"/>
          <w:szCs w:val="36"/>
        </w:rPr>
      </w:pPr>
      <w:r>
        <w:rPr>
          <w:rFonts w:ascii="Times New Roman" w:hAnsi="Times New Roman" w:eastAsia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6B3FE9F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3E0B18DC">
      <w:pPr>
        <w:pStyle w:val="199"/>
        <w:rPr>
          <w:rFonts w:cs="Times New Roman" w:asciiTheme="minorEastAsia" w:hAnsiTheme="minorEastAsia" w:eastAsiaTheme="minorEastAsia"/>
          <w:sz w:val="72"/>
          <w:szCs w:val="72"/>
          <w:lang w:eastAsia="zh-CN"/>
        </w:rPr>
      </w:pPr>
      <w:r>
        <w:rPr>
          <w:rFonts w:cs="Times New Roman" w:asciiTheme="minorEastAsia" w:hAnsiTheme="minorEastAsia" w:eastAsiaTheme="minorEastAsia"/>
          <w:sz w:val="72"/>
          <w:szCs w:val="72"/>
          <w:lang w:eastAsia="zh-CN"/>
        </w:rPr>
        <w:t>《社交网络技术与应用》</w:t>
      </w:r>
    </w:p>
    <w:p w14:paraId="3D1F3750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2E783CB6">
      <w:pPr>
        <w:pStyle w:val="199"/>
        <w:rPr>
          <w:rFonts w:hint="default" w:cs="Times New Roman" w:asciiTheme="minorEastAsia" w:hAnsiTheme="minorEastAsia" w:eastAsiaTheme="minorEastAsia"/>
          <w:lang w:val="en-US" w:eastAsia="zh-CN"/>
        </w:rPr>
      </w:pPr>
      <w:r>
        <w:t>医学多模态模型评测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前端展示与交互问答</w:t>
      </w:r>
      <w:r>
        <w:t>实验手册</w:t>
      </w:r>
    </w:p>
    <w:p w14:paraId="668C88A1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26FDE541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1EFED290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0ACC180C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729DC88B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43996B21">
      <w:pPr>
        <w:pStyle w:val="199"/>
        <w:jc w:val="left"/>
        <w:rPr>
          <w:rFonts w:cs="Times New Roman" w:asciiTheme="minorEastAsia" w:hAnsiTheme="minorEastAsia" w:eastAsiaTheme="minorEastAsia"/>
          <w:lang w:eastAsia="zh-CN"/>
        </w:rPr>
      </w:pPr>
    </w:p>
    <w:p w14:paraId="687AA73B">
      <w:pPr>
        <w:pStyle w:val="224"/>
        <w:rPr>
          <w:rFonts w:cs="Times New Roman" w:asciiTheme="minorEastAsia" w:hAnsiTheme="minorEastAsia" w:eastAsiaTheme="minorEastAsia"/>
        </w:rPr>
      </w:pPr>
    </w:p>
    <w:p w14:paraId="1412DFC8">
      <w:pPr>
        <w:rPr>
          <w:rFonts w:cs="Times New Roman" w:asciiTheme="minorEastAsia" w:hAnsiTheme="minorEastAsia" w:eastAsiaTheme="minorEastAsia"/>
        </w:rPr>
      </w:pPr>
      <w:r>
        <w:rPr>
          <w:rFonts w:cs="Times New Roman" w:asciiTheme="minorEastAsia" w:hAnsiTheme="minorEastAsia" w:eastAsiaTheme="minorEastAsia"/>
          <w:caps/>
          <w:sz w:val="21"/>
        </w:rPr>
        <w:fldChar w:fldCharType="begin"/>
      </w:r>
      <w:r>
        <w:rPr>
          <w:rFonts w:cs="Times New Roman" w:asciiTheme="minorEastAsia" w:hAnsiTheme="minorEastAsia" w:eastAsiaTheme="minorEastAsia"/>
          <w:caps/>
          <w:sz w:val="21"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caps/>
          <w:sz w:val="21"/>
        </w:rPr>
        <w:fldChar w:fldCharType="end"/>
      </w:r>
    </w:p>
    <w:p w14:paraId="354969ED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cs="Times New Roman" w:asciiTheme="minorEastAsia" w:hAnsiTheme="minorEastAsia" w:eastAsiaTheme="minorEastAsia"/>
          <w:lang w:eastAsia="zh-CN"/>
        </w:rPr>
        <w:t>厦门大学</w:t>
      </w:r>
      <w:r>
        <w:rPr>
          <w:rFonts w:cs="Times New Roman" w:asciiTheme="minorEastAsia" w:hAnsiTheme="minorEastAsia" w:eastAsiaTheme="minorEastAsia"/>
          <w:lang w:eastAsia="zh-CN"/>
        </w:rPr>
        <w:fldChar w:fldCharType="begin"/>
      </w:r>
      <w:r>
        <w:rPr>
          <w:rFonts w:cs="Times New Roman" w:asciiTheme="minorEastAsia" w:hAnsiTheme="minorEastAsia" w:eastAsiaTheme="minorEastAsia"/>
          <w:lang w:eastAsia="zh-CN"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lang w:eastAsia="zh-CN"/>
        </w:rPr>
        <w:fldChar w:fldCharType="end"/>
      </w:r>
    </w:p>
    <w:p w14:paraId="20699FEF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cs="Times New Roman" w:asciiTheme="minorEastAsia" w:hAnsiTheme="minorEastAsia" w:eastAsiaTheme="minorEastAsia"/>
          <w:lang w:eastAsia="zh-CN"/>
        </w:rPr>
        <w:t>信息学院</w:t>
      </w:r>
    </w:p>
    <w:p w14:paraId="558E304D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440" w:right="1803" w:bottom="1440" w:left="1803" w:header="567" w:footer="567" w:gutter="0"/>
          <w:pgNumType w:start="1"/>
          <w:cols w:space="425" w:num="1"/>
          <w:docGrid w:linePitch="312" w:charSpace="0"/>
        </w:sectPr>
      </w:pPr>
    </w:p>
    <w:p w14:paraId="7DC543DA">
      <w:pPr>
        <w:ind w:left="0" w:leftChars="0" w:firstLine="0" w:firstLineChars="0"/>
      </w:pPr>
    </w:p>
    <w:p w14:paraId="1589859A">
      <w:pPr>
        <w:pStyle w:val="3"/>
      </w:pPr>
      <w:r>
        <w:rPr>
          <w:rFonts w:ascii="Times New Roman" w:hAnsi="Times New Roman" w:eastAsia="宋体"/>
        </w:rPr>
        <w:t>1 实验介绍</w:t>
      </w:r>
    </w:p>
    <w:p w14:paraId="0FCC1DFB">
      <w:pPr>
        <w:pStyle w:val="4"/>
      </w:pPr>
      <w:r>
        <w:rPr>
          <w:rFonts w:ascii="Times New Roman" w:hAnsi="Times New Roman" w:eastAsia="宋体"/>
        </w:rPr>
        <w:t>1.1 实验背景</w:t>
      </w:r>
    </w:p>
    <w:p w14:paraId="694EA3B8">
      <w:pPr>
        <w:pStyle w:val="351"/>
      </w:pPr>
      <w:r>
        <w:rPr>
          <w:rFonts w:ascii="Times New Roman" w:hAnsi="Times New Roman" w:eastAsia="宋体"/>
          <w:sz w:val="21"/>
        </w:rPr>
        <w:t>在前几次实验中，同学们已经完成了多模态模型部署、数据爬取、数据清洗、增量预训练和多模态指令微调相关内容。</w:t>
      </w:r>
    </w:p>
    <w:p w14:paraId="2EF092F2">
      <w:pPr>
        <w:pStyle w:val="351"/>
      </w:pPr>
      <w:r>
        <w:rPr>
          <w:rFonts w:ascii="Times New Roman" w:hAnsi="Times New Roman" w:eastAsia="宋体"/>
          <w:sz w:val="21"/>
        </w:rPr>
        <w:t>本次实验的重点是：完成一次规范的医学多模态模型评测。模型训练完成并不代表模型真正有效，训练过程中的 loss 下降也不能直接证明模型具备可靠的医学图像理解能力。</w:t>
      </w:r>
    </w:p>
    <w:p w14:paraId="214A9129">
      <w:pPr>
        <w:pStyle w:val="351"/>
      </w:pPr>
      <w:r>
        <w:rPr>
          <w:rFonts w:ascii="Times New Roman" w:hAnsi="Times New Roman" w:eastAsia="宋体"/>
          <w:sz w:val="21"/>
        </w:rPr>
        <w:t>由于不同小组使用的医学子领域数据不同，例如胸片、CT、眼底图像、皮肤病图像、病理图像或医学科普图文等，本实验不要求所有小组使用同一个公开 benchmark 排名，而是要求所有小组采用统一的数据格式、推理流程和分析方法，在自己的子领域内完成评测。</w:t>
      </w:r>
    </w:p>
    <w:p w14:paraId="7BC2C4BA">
      <w:pPr>
        <w:pStyle w:val="351"/>
      </w:pPr>
      <w:r>
        <w:rPr>
          <w:rFonts w:ascii="Times New Roman" w:hAnsi="Times New Roman" w:eastAsia="宋体"/>
          <w:sz w:val="21"/>
        </w:rPr>
        <w:t>本实验需要重点回答三个问题：</w:t>
      </w:r>
    </w:p>
    <w:p w14:paraId="0931DF0D">
      <w:pPr>
        <w:pStyle w:val="355"/>
      </w:pPr>
      <w:r>
        <w:rPr>
          <w:rFonts w:ascii="Times New Roman" w:hAnsi="Times New Roman" w:eastAsia="宋体"/>
          <w:sz w:val="21"/>
        </w:rPr>
        <w:t>模型微调之后，相比原始模型是否有提升。</w:t>
      </w:r>
    </w:p>
    <w:p w14:paraId="2ED5602D">
      <w:pPr>
        <w:pStyle w:val="355"/>
      </w:pPr>
      <w:r>
        <w:rPr>
          <w:rFonts w:ascii="Times New Roman" w:hAnsi="Times New Roman" w:eastAsia="宋体"/>
          <w:sz w:val="21"/>
        </w:rPr>
        <w:t>模型是否真正利用了图像信息，而不是只根据问题文本或语言先验回答。</w:t>
      </w:r>
    </w:p>
    <w:p w14:paraId="0EC4487F">
      <w:pPr>
        <w:pStyle w:val="355"/>
      </w:pPr>
      <w:r>
        <w:rPr>
          <w:rFonts w:ascii="Times New Roman" w:hAnsi="Times New Roman" w:eastAsia="宋体"/>
          <w:sz w:val="21"/>
        </w:rPr>
        <w:t>模型在医学场景下是否存在幻觉、过度诊断或不安全回答。</w:t>
      </w:r>
    </w:p>
    <w:p w14:paraId="1D10F2AF">
      <w:pPr>
        <w:pStyle w:val="4"/>
      </w:pPr>
      <w:r>
        <w:rPr>
          <w:rFonts w:ascii="Times New Roman" w:hAnsi="Times New Roman" w:eastAsia="宋体"/>
        </w:rPr>
        <w:t>1.2 实验目的</w:t>
      </w:r>
    </w:p>
    <w:p w14:paraId="255CE8F6">
      <w:pPr>
        <w:pStyle w:val="351"/>
      </w:pPr>
      <w:r>
        <w:rPr>
          <w:rFonts w:ascii="Times New Roman" w:hAnsi="Times New Roman" w:eastAsia="宋体"/>
          <w:sz w:val="21"/>
        </w:rPr>
        <w:t>完成本实验后，同学们应能够：</w:t>
      </w:r>
    </w:p>
    <w:p w14:paraId="3FA5156B">
      <w:pPr>
        <w:pStyle w:val="355"/>
      </w:pPr>
      <w:r>
        <w:rPr>
          <w:rFonts w:ascii="Times New Roman" w:hAnsi="Times New Roman" w:eastAsia="宋体"/>
          <w:sz w:val="21"/>
        </w:rPr>
        <w:t>理解模型评测在医学多模态大模型实验流程中的作用。</w:t>
      </w:r>
    </w:p>
    <w:p w14:paraId="5F5F7CFC">
      <w:pPr>
        <w:pStyle w:val="355"/>
      </w:pPr>
      <w:r>
        <w:rPr>
          <w:rFonts w:ascii="Times New Roman" w:hAnsi="Times New Roman" w:eastAsia="宋体"/>
          <w:sz w:val="21"/>
        </w:rPr>
        <w:t>掌握医学多模态评测集的基本构建方法。</w:t>
      </w:r>
    </w:p>
    <w:p w14:paraId="620670D6">
      <w:pPr>
        <w:pStyle w:val="355"/>
      </w:pPr>
      <w:r>
        <w:rPr>
          <w:rFonts w:ascii="Times New Roman" w:hAnsi="Times New Roman" w:eastAsia="宋体"/>
          <w:sz w:val="21"/>
        </w:rPr>
        <w:t>能够根据不同题型选择合适的 Accuracy、F1、ROUGE-L 等评测指标。</w:t>
      </w:r>
    </w:p>
    <w:p w14:paraId="179BCA3B">
      <w:pPr>
        <w:pStyle w:val="355"/>
      </w:pPr>
      <w:r>
        <w:rPr>
          <w:rFonts w:ascii="Times New Roman" w:hAnsi="Times New Roman" w:eastAsia="宋体"/>
          <w:sz w:val="21"/>
        </w:rPr>
        <w:t>能够理解常用评测指标的数学含义，并在实验报告中正确解释结果。</w:t>
      </w:r>
    </w:p>
    <w:p w14:paraId="6946750D">
      <w:pPr>
        <w:pStyle w:val="355"/>
      </w:pPr>
      <w:r>
        <w:rPr>
          <w:rFonts w:ascii="Times New Roman" w:hAnsi="Times New Roman" w:eastAsia="宋体"/>
          <w:sz w:val="21"/>
        </w:rPr>
        <w:t>能够分析模型输出中的医学幻觉、过度诊断和格式错误问题。</w:t>
      </w:r>
    </w:p>
    <w:p w14:paraId="3370F941">
      <w:pPr>
        <w:pStyle w:val="4"/>
      </w:pPr>
      <w:r>
        <w:rPr>
          <w:rFonts w:ascii="Times New Roman" w:hAnsi="Times New Roman" w:eastAsia="宋体"/>
        </w:rPr>
        <w:t>1.3 实验清单</w:t>
      </w:r>
    </w:p>
    <w:tbl>
      <w:tblPr>
        <w:tblStyle w:val="91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608"/>
        <w:gridCol w:w="794"/>
        <w:gridCol w:w="1134"/>
        <w:gridCol w:w="2438"/>
      </w:tblGrid>
      <w:tr w14:paraId="7DE4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2EF6190">
            <w:pPr>
              <w:pStyle w:val="264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asciiTheme="minorEastAsia" w:hAnsiTheme="minorEastAsia" w:eastAsiaTheme="minorEastAsia"/>
                <w:b/>
              </w:rPr>
              <w:t>任务</w:t>
            </w:r>
          </w:p>
        </w:tc>
        <w:tc>
          <w:tcPr>
            <w:tcW w:w="2608" w:type="dxa"/>
            <w:vAlign w:val="center"/>
          </w:tcPr>
          <w:p w14:paraId="75557A54">
            <w:pPr>
              <w:pStyle w:val="264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asciiTheme="minorEastAsia" w:hAnsiTheme="minorEastAsia" w:eastAsiaTheme="minorEastAsia"/>
                <w:b/>
              </w:rPr>
              <w:t>简述</w:t>
            </w:r>
          </w:p>
        </w:tc>
        <w:tc>
          <w:tcPr>
            <w:tcW w:w="794" w:type="dxa"/>
            <w:vAlign w:val="center"/>
          </w:tcPr>
          <w:p w14:paraId="238A3C74">
            <w:pPr>
              <w:pStyle w:val="264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asciiTheme="minorEastAsia" w:hAnsiTheme="minorEastAsia" w:eastAsiaTheme="minorEastAsia"/>
                <w:b/>
              </w:rPr>
              <w:t>难度</w:t>
            </w:r>
          </w:p>
        </w:tc>
        <w:tc>
          <w:tcPr>
            <w:tcW w:w="1134" w:type="dxa"/>
            <w:vAlign w:val="center"/>
          </w:tcPr>
          <w:p w14:paraId="53AFF2B1">
            <w:pPr>
              <w:pStyle w:val="264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asciiTheme="minorEastAsia" w:hAnsiTheme="minorEastAsia" w:eastAsiaTheme="minorEastAsia"/>
                <w:b/>
              </w:rPr>
              <w:t>软件</w:t>
            </w:r>
          </w:p>
        </w:tc>
        <w:tc>
          <w:tcPr>
            <w:tcW w:w="2438" w:type="dxa"/>
            <w:vAlign w:val="center"/>
          </w:tcPr>
          <w:p w14:paraId="180A189E">
            <w:pPr>
              <w:pStyle w:val="264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asciiTheme="minorEastAsia" w:hAnsiTheme="minorEastAsia" w:eastAsiaTheme="minorEastAsia"/>
                <w:b/>
              </w:rPr>
              <w:t>环境</w:t>
            </w:r>
          </w:p>
        </w:tc>
      </w:tr>
      <w:tr w14:paraId="2536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15C9663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数据</w:t>
            </w:r>
          </w:p>
        </w:tc>
        <w:tc>
          <w:tcPr>
            <w:tcW w:w="2608" w:type="dxa"/>
            <w:vAlign w:val="center"/>
          </w:tcPr>
          <w:p w14:paraId="7D920340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整理本组医学子领域评测集</w:t>
            </w:r>
          </w:p>
        </w:tc>
        <w:tc>
          <w:tcPr>
            <w:tcW w:w="794" w:type="dxa"/>
            <w:vAlign w:val="center"/>
          </w:tcPr>
          <w:p w14:paraId="16BB0E6D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中级</w:t>
            </w:r>
          </w:p>
        </w:tc>
        <w:tc>
          <w:tcPr>
            <w:tcW w:w="1134" w:type="dxa"/>
            <w:vAlign w:val="center"/>
          </w:tcPr>
          <w:p w14:paraId="3AE7AC37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3.10</w:t>
            </w:r>
          </w:p>
        </w:tc>
        <w:tc>
          <w:tcPr>
            <w:tcW w:w="2438" w:type="dxa"/>
            <w:vAlign w:val="center"/>
          </w:tcPr>
          <w:p w14:paraId="16C919D1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本地/服务器</w:t>
            </w:r>
          </w:p>
        </w:tc>
      </w:tr>
      <w:tr w14:paraId="2A2C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E0A5995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推理</w:t>
            </w:r>
          </w:p>
        </w:tc>
        <w:tc>
          <w:tcPr>
            <w:tcW w:w="2608" w:type="dxa"/>
            <w:vAlign w:val="center"/>
          </w:tcPr>
          <w:p w14:paraId="7D1D84D2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使用 Base / CPT / SFT 模型生成预测结果</w:t>
            </w:r>
          </w:p>
        </w:tc>
        <w:tc>
          <w:tcPr>
            <w:tcW w:w="794" w:type="dxa"/>
            <w:vAlign w:val="center"/>
          </w:tcPr>
          <w:p w14:paraId="7D19F9B3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中级</w:t>
            </w:r>
          </w:p>
        </w:tc>
        <w:tc>
          <w:tcPr>
            <w:tcW w:w="1134" w:type="dxa"/>
            <w:vAlign w:val="center"/>
          </w:tcPr>
          <w:p w14:paraId="7140A944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3.10</w:t>
            </w:r>
          </w:p>
        </w:tc>
        <w:tc>
          <w:tcPr>
            <w:tcW w:w="2438" w:type="dxa"/>
            <w:vAlign w:val="center"/>
          </w:tcPr>
          <w:p w14:paraId="7FEA9629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本地/服务器</w:t>
            </w:r>
          </w:p>
        </w:tc>
      </w:tr>
      <w:tr w14:paraId="11DB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7A8FC9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分析</w:t>
            </w:r>
          </w:p>
        </w:tc>
        <w:tc>
          <w:tcPr>
            <w:tcW w:w="2608" w:type="dxa"/>
            <w:vAlign w:val="center"/>
          </w:tcPr>
          <w:p w14:paraId="47DAF28F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根据题型选择指标，并完成图像依赖性分析</w:t>
            </w:r>
          </w:p>
        </w:tc>
        <w:tc>
          <w:tcPr>
            <w:tcW w:w="794" w:type="dxa"/>
            <w:vAlign w:val="center"/>
          </w:tcPr>
          <w:p w14:paraId="09E0DC4A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中高级</w:t>
            </w:r>
          </w:p>
        </w:tc>
        <w:tc>
          <w:tcPr>
            <w:tcW w:w="1134" w:type="dxa"/>
            <w:vAlign w:val="center"/>
          </w:tcPr>
          <w:p w14:paraId="0E4AC7C0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3.10</w:t>
            </w:r>
          </w:p>
        </w:tc>
        <w:tc>
          <w:tcPr>
            <w:tcW w:w="2438" w:type="dxa"/>
            <w:vAlign w:val="center"/>
          </w:tcPr>
          <w:p w14:paraId="21925183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本地/服务器</w:t>
            </w:r>
          </w:p>
        </w:tc>
      </w:tr>
    </w:tbl>
    <w:p w14:paraId="6849E695"/>
    <w:p w14:paraId="307F18F8">
      <w:pPr>
        <w:pStyle w:val="4"/>
      </w:pPr>
      <w:r>
        <w:rPr>
          <w:rFonts w:ascii="Times New Roman" w:hAnsi="Times New Roman" w:eastAsia="宋体"/>
        </w:rPr>
        <w:t>1.4 训练任务与评测任务的区别</w:t>
      </w:r>
    </w:p>
    <w:tbl>
      <w:tblPr>
        <w:tblStyle w:val="91"/>
        <w:tblW w:w="86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649"/>
      </w:tblGrid>
      <w:tr w14:paraId="711E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2891DC64">
            <w:pPr>
              <w:pStyle w:val="264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asciiTheme="minorEastAsia" w:hAnsiTheme="minorEastAsia" w:eastAsiaTheme="minorEastAsia"/>
                <w:b/>
              </w:rPr>
              <w:t>维度</w:t>
            </w:r>
          </w:p>
        </w:tc>
        <w:tc>
          <w:tcPr>
            <w:tcW w:w="2268" w:type="dxa"/>
            <w:vAlign w:val="center"/>
          </w:tcPr>
          <w:p w14:paraId="6D2BC01C">
            <w:pPr>
              <w:pStyle w:val="264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asciiTheme="minorEastAsia" w:hAnsiTheme="minorEastAsia" w:eastAsiaTheme="minorEastAsia"/>
                <w:b/>
              </w:rPr>
              <w:t>训练任务</w:t>
            </w:r>
          </w:p>
        </w:tc>
        <w:tc>
          <w:tcPr>
            <w:tcW w:w="4649" w:type="dxa"/>
            <w:vAlign w:val="center"/>
          </w:tcPr>
          <w:p w14:paraId="20EEE240">
            <w:pPr>
              <w:pStyle w:val="264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asciiTheme="minorEastAsia" w:hAnsiTheme="minorEastAsia" w:eastAsiaTheme="minorEastAsia"/>
                <w:b/>
              </w:rPr>
              <w:t>评测任务</w:t>
            </w:r>
          </w:p>
        </w:tc>
      </w:tr>
      <w:tr w14:paraId="09CE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19E7BD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主要目标</w:t>
            </w:r>
          </w:p>
        </w:tc>
        <w:tc>
          <w:tcPr>
            <w:tcW w:w="2268" w:type="dxa"/>
            <w:vAlign w:val="center"/>
          </w:tcPr>
          <w:p w14:paraId="403F4A51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让模型学习领域数据或指令回答方式</w:t>
            </w:r>
          </w:p>
        </w:tc>
        <w:tc>
          <w:tcPr>
            <w:tcW w:w="4649" w:type="dxa"/>
            <w:vAlign w:val="center"/>
          </w:tcPr>
          <w:p w14:paraId="6CDB921A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判断模型是否真的有效、可靠、会看图</w:t>
            </w:r>
          </w:p>
        </w:tc>
      </w:tr>
      <w:tr w14:paraId="0C52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9CB9A5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输入数据</w:t>
            </w:r>
          </w:p>
        </w:tc>
        <w:tc>
          <w:tcPr>
            <w:tcW w:w="2268" w:type="dxa"/>
            <w:vAlign w:val="center"/>
          </w:tcPr>
          <w:p w14:paraId="255821FA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训练集和验证集</w:t>
            </w:r>
          </w:p>
        </w:tc>
        <w:tc>
          <w:tcPr>
            <w:tcW w:w="4649" w:type="dxa"/>
            <w:vAlign w:val="center"/>
          </w:tcPr>
          <w:p w14:paraId="535E5955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独立评测集，不能与训练数据重复</w:t>
            </w:r>
          </w:p>
        </w:tc>
      </w:tr>
      <w:tr w14:paraId="4A4E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4D77FB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关注内容</w:t>
            </w:r>
          </w:p>
        </w:tc>
        <w:tc>
          <w:tcPr>
            <w:tcW w:w="2268" w:type="dxa"/>
            <w:vAlign w:val="center"/>
          </w:tcPr>
          <w:p w14:paraId="6FA1695C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loss、eval_loss、模型保存结果</w:t>
            </w:r>
          </w:p>
        </w:tc>
        <w:tc>
          <w:tcPr>
            <w:tcW w:w="4649" w:type="dxa"/>
            <w:vAlign w:val="center"/>
          </w:tcPr>
          <w:p w14:paraId="4714AEDE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预测准确性、图像依赖性、错误类型和安全风险</w:t>
            </w:r>
          </w:p>
        </w:tc>
      </w:tr>
      <w:tr w14:paraId="4A1B7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1E4B40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结果形式</w:t>
            </w:r>
          </w:p>
        </w:tc>
        <w:tc>
          <w:tcPr>
            <w:tcW w:w="2268" w:type="dxa"/>
            <w:vAlign w:val="center"/>
          </w:tcPr>
          <w:p w14:paraId="21FDCC44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训练日志和模型权重</w:t>
            </w:r>
          </w:p>
        </w:tc>
        <w:tc>
          <w:tcPr>
            <w:tcW w:w="4649" w:type="dxa"/>
            <w:vAlign w:val="center"/>
          </w:tcPr>
          <w:p w14:paraId="056DAE95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predictions.jsonl、指标表格和错误分析报告</w:t>
            </w:r>
          </w:p>
        </w:tc>
      </w:tr>
    </w:tbl>
    <w:p w14:paraId="3D4357A6"/>
    <w:p w14:paraId="2AAF203A">
      <w:pPr>
        <w:pStyle w:val="3"/>
      </w:pPr>
      <w:r>
        <w:rPr>
          <w:rFonts w:ascii="Times New Roman" w:hAnsi="Times New Roman" w:eastAsia="宋体"/>
        </w:rPr>
        <w:t>2 实验实施</w:t>
      </w:r>
    </w:p>
    <w:p w14:paraId="179BFA36">
      <w:pPr>
        <w:pStyle w:val="4"/>
      </w:pPr>
      <w:r>
        <w:rPr>
          <w:rFonts w:ascii="Times New Roman" w:hAnsi="Times New Roman" w:eastAsia="宋体"/>
        </w:rPr>
        <w:t>2.1 实验环境准备</w:t>
      </w:r>
    </w:p>
    <w:p w14:paraId="2A82459A">
      <w:pPr>
        <w:pStyle w:val="351"/>
      </w:pPr>
      <w:r>
        <w:rPr>
          <w:rFonts w:ascii="Times New Roman" w:hAnsi="Times New Roman" w:eastAsia="宋体"/>
          <w:sz w:val="21"/>
        </w:rPr>
        <w:t>本实验建议继续复用 Lab4 和 Lab5 中创建的 Conda 环境。</w:t>
      </w:r>
    </w:p>
    <w:p w14:paraId="5A8EA5FD">
      <w:pPr>
        <w:pStyle w:val="4"/>
      </w:pPr>
      <w:r>
        <w:rPr>
          <w:rFonts w:ascii="Times New Roman" w:hAnsi="Times New Roman" w:eastAsia="宋体"/>
        </w:rPr>
        <w:t>2.2 依赖包安装</w:t>
      </w:r>
    </w:p>
    <w:p w14:paraId="2D3DE53F">
      <w:pPr>
        <w:pStyle w:val="5"/>
      </w:pPr>
      <w:r>
        <w:rPr>
          <w:rFonts w:ascii="Times New Roman" w:hAnsi="Times New Roman" w:eastAsia="宋体"/>
        </w:rPr>
        <w:t>2.2.1 安装 PyTorch</w:t>
      </w:r>
    </w:p>
    <w:p w14:paraId="180189A6">
      <w:pPr>
        <w:pStyle w:val="351"/>
      </w:pPr>
      <w:r>
        <w:rPr>
          <w:rFonts w:ascii="Times New Roman" w:hAnsi="Times New Roman" w:eastAsia="宋体"/>
          <w:sz w:val="21"/>
        </w:rPr>
        <w:t>对于大多数 RTX 30 / RTX 40 系列 Windows 显卡，建议安装 CUDA 12.1 对应版本：</w:t>
      </w:r>
    </w:p>
    <w:p w14:paraId="73371DB0">
      <w:pPr>
        <w:pStyle w:val="354"/>
      </w:pPr>
      <w:r>
        <w:rPr>
          <w:rFonts w:ascii="Consolas" w:hAnsi="Consolas" w:eastAsia="等线"/>
          <w:sz w:val="16"/>
        </w:rPr>
        <w:t>pip install torch torchvision torchaudio --index-url https://download.pytorch.org/whl/cu121</w:t>
      </w:r>
    </w:p>
    <w:p w14:paraId="20E21EC0">
      <w:pPr>
        <w:pStyle w:val="351"/>
      </w:pPr>
      <w:r>
        <w:rPr>
          <w:rFonts w:ascii="Times New Roman" w:hAnsi="Times New Roman" w:eastAsia="宋体"/>
          <w:sz w:val="21"/>
        </w:rPr>
        <w:t>如果是 CPU 或 Mac，可以使用：</w:t>
      </w:r>
    </w:p>
    <w:p w14:paraId="5F926F31">
      <w:pPr>
        <w:pStyle w:val="354"/>
      </w:pPr>
      <w:r>
        <w:rPr>
          <w:rFonts w:ascii="Consolas" w:hAnsi="Consolas" w:eastAsia="等线"/>
          <w:sz w:val="16"/>
        </w:rPr>
        <w:t>pip install torch torchvision torchaudio</w:t>
      </w:r>
    </w:p>
    <w:p w14:paraId="75D6DBEB">
      <w:pPr>
        <w:pStyle w:val="5"/>
      </w:pPr>
      <w:r>
        <w:rPr>
          <w:rFonts w:ascii="Times New Roman" w:hAnsi="Times New Roman" w:eastAsia="宋体"/>
        </w:rPr>
        <w:t>2.2.2 安装评测相关依赖</w:t>
      </w:r>
    </w:p>
    <w:p w14:paraId="73E6D54A">
      <w:pPr>
        <w:pStyle w:val="351"/>
      </w:pPr>
      <w:r>
        <w:rPr>
          <w:rFonts w:ascii="Times New Roman" w:hAnsi="Times New Roman" w:eastAsia="宋体"/>
          <w:sz w:val="21"/>
        </w:rPr>
        <w:t>为了减少版本不兼容问题，建议固定 transformers 版本，并安装 peft、datasets、pillow、sentencepiece、tqdm 等依赖：</w:t>
      </w:r>
    </w:p>
    <w:p w14:paraId="2B3083F3">
      <w:pPr>
        <w:pStyle w:val="354"/>
      </w:pPr>
      <w:r>
        <w:rPr>
          <w:rFonts w:ascii="Consolas" w:hAnsi="Consolas" w:eastAsia="等线"/>
          <w:sz w:val="16"/>
        </w:rPr>
        <w:t>pip install "transformers==4.46.3" "accelerate&gt;=0.34,&lt;1.0" peft datasets pillow sentencepiece tqdm -i https://pypi.tuna.tsinghua.edu.cn/simple</w:t>
      </w:r>
    </w:p>
    <w:p w14:paraId="3F327ECF">
      <w:pPr>
        <w:pStyle w:val="351"/>
      </w:pPr>
      <w:r>
        <w:rPr>
          <w:rFonts w:ascii="Times New Roman" w:hAnsi="Times New Roman" w:eastAsia="宋体"/>
          <w:sz w:val="21"/>
        </w:rPr>
        <w:t>安装完成后，检查核心库是否可以导入：</w:t>
      </w:r>
    </w:p>
    <w:p w14:paraId="2BDFA94A">
      <w:pPr>
        <w:pStyle w:val="354"/>
      </w:pPr>
      <w:r>
        <w:rPr>
          <w:rFonts w:ascii="Consolas" w:hAnsi="Consolas" w:eastAsia="等线"/>
          <w:sz w:val="16"/>
        </w:rPr>
        <w:t>python -c "import torch; import transformers; import peft; import PIL; print('OK')"</w:t>
      </w:r>
    </w:p>
    <w:p w14:paraId="423C954E">
      <w:pPr>
        <w:pStyle w:val="351"/>
      </w:pPr>
      <w:r>
        <w:rPr>
          <w:rFonts w:ascii="Times New Roman" w:hAnsi="Times New Roman" w:eastAsia="宋体"/>
          <w:sz w:val="21"/>
        </w:rPr>
        <w:t>如果输出：</w:t>
      </w:r>
    </w:p>
    <w:p w14:paraId="771DE3BB">
      <w:pPr>
        <w:pStyle w:val="354"/>
      </w:pPr>
      <w:r>
        <w:rPr>
          <w:rFonts w:ascii="Consolas" w:hAnsi="Consolas" w:eastAsia="等线"/>
          <w:sz w:val="16"/>
        </w:rPr>
        <w:t>OK</w:t>
      </w:r>
    </w:p>
    <w:p w14:paraId="12862DF5">
      <w:pPr>
        <w:pStyle w:val="351"/>
      </w:pPr>
      <w:r>
        <w:rPr>
          <w:rFonts w:ascii="Times New Roman" w:hAnsi="Times New Roman" w:eastAsia="宋体"/>
          <w:sz w:val="21"/>
        </w:rPr>
        <w:t>说明依赖安装成功。</w:t>
      </w:r>
    </w:p>
    <w:p w14:paraId="59FC2457">
      <w:pPr>
        <w:pStyle w:val="4"/>
      </w:pPr>
      <w:r>
        <w:rPr>
          <w:rFonts w:ascii="Times New Roman" w:hAnsi="Times New Roman" w:eastAsia="宋体"/>
        </w:rPr>
        <w:t>2.3 评测集准备</w:t>
      </w:r>
    </w:p>
    <w:p w14:paraId="53EAB310">
      <w:pPr>
        <w:pStyle w:val="351"/>
      </w:pPr>
      <w:r>
        <w:rPr>
          <w:rFonts w:ascii="Times New Roman" w:hAnsi="Times New Roman" w:eastAsia="宋体"/>
          <w:sz w:val="21"/>
        </w:rPr>
        <w:t>本实验不提供统一的医学 benchmark 作为唯一评分标准。每个小组需要根据自己的医学子领域准备独立评测集，文件名统一为 eval.jsonl。</w:t>
      </w:r>
    </w:p>
    <w:p w14:paraId="62B34E9C">
      <w:pPr>
        <w:pStyle w:val="351"/>
      </w:pPr>
      <w:r>
        <w:rPr>
          <w:rFonts w:ascii="Times New Roman" w:hAnsi="Times New Roman" w:eastAsia="宋体"/>
          <w:sz w:val="21"/>
        </w:rPr>
        <w:t>评测集应满足以下要求：</w:t>
      </w:r>
    </w:p>
    <w:p w14:paraId="2F62CF14">
      <w:pPr>
        <w:pStyle w:val="355"/>
      </w:pPr>
      <w:r>
        <w:rPr>
          <w:rFonts w:ascii="Times New Roman" w:hAnsi="Times New Roman" w:eastAsia="宋体"/>
          <w:sz w:val="21"/>
        </w:rPr>
        <w:t>评测样本不得出现在训练集和验证集中。</w:t>
      </w:r>
    </w:p>
    <w:p w14:paraId="147D092E">
      <w:pPr>
        <w:pStyle w:val="355"/>
      </w:pPr>
      <w:r>
        <w:rPr>
          <w:rFonts w:ascii="Times New Roman" w:hAnsi="Times New Roman" w:eastAsia="宋体"/>
          <w:sz w:val="21"/>
        </w:rPr>
        <w:t>每条样本必须包含 id、image、question、answer、task_type 字段。</w:t>
      </w:r>
    </w:p>
    <w:p w14:paraId="39613C76">
      <w:pPr>
        <w:pStyle w:val="355"/>
      </w:pPr>
      <w:r>
        <w:rPr>
          <w:rFonts w:ascii="Times New Roman" w:hAnsi="Times New Roman" w:eastAsia="宋体"/>
          <w:sz w:val="21"/>
        </w:rPr>
        <w:t>建议评测样本数量不少于 30 条；如果数据较充足，建议 50 到 100 条。</w:t>
      </w:r>
    </w:p>
    <w:p w14:paraId="0EE8773D">
      <w:pPr>
        <w:pStyle w:val="355"/>
      </w:pPr>
      <w:r>
        <w:rPr>
          <w:rFonts w:ascii="Times New Roman" w:hAnsi="Times New Roman" w:eastAsia="宋体"/>
          <w:sz w:val="21"/>
        </w:rPr>
        <w:t>如果包含多个题型，应在 task_type 字段中明确标注。</w:t>
      </w:r>
    </w:p>
    <w:p w14:paraId="13518E43">
      <w:pPr>
        <w:pStyle w:val="355"/>
      </w:pPr>
      <w:r>
        <w:rPr>
          <w:rFonts w:ascii="Times New Roman" w:hAnsi="Times New Roman" w:eastAsia="宋体"/>
          <w:sz w:val="21"/>
        </w:rPr>
        <w:t>如果本组数据来自公开数据集，需要在实验报告中说明数据来源。</w:t>
      </w:r>
    </w:p>
    <w:p w14:paraId="159CF5B1">
      <w:pPr>
        <w:pStyle w:val="4"/>
      </w:pPr>
      <w:r>
        <w:rPr>
          <w:rFonts w:ascii="Times New Roman" w:hAnsi="Times New Roman" w:eastAsia="宋体"/>
        </w:rPr>
        <w:t>2.4 医学多模态评测数据格式说明</w:t>
      </w:r>
    </w:p>
    <w:p w14:paraId="2F2FAE12">
      <w:pPr>
        <w:pStyle w:val="351"/>
      </w:pPr>
      <w:r>
        <w:rPr>
          <w:rFonts w:ascii="Times New Roman" w:hAnsi="Times New Roman" w:eastAsia="宋体"/>
          <w:sz w:val="21"/>
        </w:rPr>
        <w:t>本实验采用 JSONL 格式，即每一行是一条独立 JSON 数据。不同医学子领域可以使用不同图片和问题，但字段格式必须统一。</w:t>
      </w:r>
    </w:p>
    <w:p w14:paraId="79A56CAA">
      <w:pPr>
        <w:pStyle w:val="351"/>
      </w:pPr>
      <w:r>
        <w:rPr>
          <w:rFonts w:ascii="Times New Roman" w:hAnsi="Times New Roman" w:eastAsia="宋体"/>
          <w:sz w:val="21"/>
        </w:rPr>
        <w:t>yes/no 样本示例：</w:t>
      </w:r>
    </w:p>
    <w:p w14:paraId="5BE6B17D">
      <w:pPr>
        <w:pStyle w:val="354"/>
      </w:pPr>
      <w:r>
        <w:rPr>
          <w:rFonts w:ascii="Consolas" w:hAnsi="Consolas" w:eastAsia="等线"/>
          <w:sz w:val="16"/>
        </w:rPr>
        <w:t>{"id": "case_001", "subdomain": "chest_xray", "image": "./eval_images/case_001.png", "question": "图像中是否存在明显胸腔积液？请回答是或否。", "answer": "否", "task_type": "yes_no"}</w:t>
      </w:r>
    </w:p>
    <w:p w14:paraId="3E440ABA">
      <w:pPr>
        <w:pStyle w:val="351"/>
      </w:pPr>
      <w:r>
        <w:rPr>
          <w:rFonts w:ascii="Times New Roman" w:hAnsi="Times New Roman" w:eastAsia="宋体"/>
          <w:sz w:val="21"/>
        </w:rPr>
        <w:t>多选题样本示例：</w:t>
      </w:r>
    </w:p>
    <w:p w14:paraId="0FAB2740">
      <w:pPr>
        <w:pStyle w:val="354"/>
      </w:pPr>
      <w:r>
        <w:rPr>
          <w:rFonts w:ascii="Consolas" w:hAnsi="Consolas" w:eastAsia="等线"/>
          <w:sz w:val="16"/>
        </w:rPr>
        <w:t>{"id": "case_002", "subdomain": "fundus", "image": "./eval_images/case_002.png", "question": "该图像最明显的异常是什么？A. 出血点 B. 渗出 C. 视盘水肿 D. 未见明显异常", "answer": "A", "task_type": "mcq"}</w:t>
      </w:r>
    </w:p>
    <w:p w14:paraId="743B296B">
      <w:pPr>
        <w:pStyle w:val="351"/>
      </w:pPr>
      <w:r>
        <w:rPr>
          <w:rFonts w:ascii="Times New Roman" w:hAnsi="Times New Roman" w:eastAsia="宋体"/>
          <w:sz w:val="21"/>
        </w:rPr>
        <w:t>短答案样本示例：</w:t>
      </w:r>
    </w:p>
    <w:p w14:paraId="3F2685B6">
      <w:pPr>
        <w:pStyle w:val="354"/>
      </w:pPr>
      <w:r>
        <w:rPr>
          <w:rFonts w:ascii="Consolas" w:hAnsi="Consolas" w:eastAsia="等线"/>
          <w:sz w:val="16"/>
        </w:rPr>
        <w:t>{"id": "case_003", "subdomain": "skin", "image": "./eval_images/case_003.png", "question": "请描述图像中最明显的皮肤表现。", "answer": "局部红斑伴轻度脱屑。", "task_type": "short_answer"}</w:t>
      </w:r>
    </w:p>
    <w:p w14:paraId="749B63C2">
      <w:pPr>
        <w:pStyle w:val="4"/>
      </w:pPr>
      <w:r>
        <w:rPr>
          <w:rFonts w:ascii="Times New Roman" w:hAnsi="Times New Roman" w:eastAsia="宋体"/>
        </w:rPr>
        <w:t>2.5 核心评测流程说明</w:t>
      </w:r>
    </w:p>
    <w:p w14:paraId="7B469DCF">
      <w:pPr>
        <w:pStyle w:val="351"/>
      </w:pPr>
      <w:r>
        <w:rPr>
          <w:rFonts w:ascii="Times New Roman" w:hAnsi="Times New Roman" w:eastAsia="宋体"/>
          <w:sz w:val="21"/>
        </w:rPr>
        <w:t>在实验目录中新建文件 eval_generate.py，使用教师提供的评测推理脚本或根据前面实验中的 infer_lora.py 改写。该脚本不需要训练模型，只负责读取 eval.jsonl、逐条调用模型生成回答，并保存预测结果。</w:t>
      </w:r>
    </w:p>
    <w:p w14:paraId="0B8DFB25">
      <w:pPr>
        <w:pStyle w:val="351"/>
      </w:pPr>
      <w:r>
        <w:rPr>
          <w:rFonts w:ascii="Times New Roman" w:hAnsi="Times New Roman" w:eastAsia="宋体"/>
          <w:sz w:val="21"/>
        </w:rPr>
        <w:t>评测脚本应完成以下功能：</w:t>
      </w:r>
    </w:p>
    <w:p w14:paraId="39499FCB">
      <w:pPr>
        <w:pStyle w:val="355"/>
      </w:pPr>
      <w:r>
        <w:rPr>
          <w:rFonts w:ascii="Times New Roman" w:hAnsi="Times New Roman" w:eastAsia="宋体"/>
          <w:sz w:val="21"/>
        </w:rPr>
        <w:t>读取 eval.jsonl 中的 image、question、answer、task_type 等字段。</w:t>
      </w:r>
    </w:p>
    <w:p w14:paraId="1D97E909">
      <w:pPr>
        <w:pStyle w:val="355"/>
      </w:pPr>
      <w:r>
        <w:rPr>
          <w:rFonts w:ascii="Times New Roman" w:hAnsi="Times New Roman" w:eastAsia="宋体"/>
          <w:sz w:val="21"/>
        </w:rPr>
        <w:t>使用 PIL.Image.open() 读取图片，并通过 processor(text=..., images=...) 同时输入文本和图像。</w:t>
      </w:r>
    </w:p>
    <w:p w14:paraId="595F873B">
      <w:pPr>
        <w:pStyle w:val="355"/>
      </w:pPr>
      <w:r>
        <w:rPr>
          <w:rFonts w:ascii="Times New Roman" w:hAnsi="Times New Roman" w:eastAsia="宋体"/>
          <w:sz w:val="21"/>
        </w:rPr>
        <w:t>使用 model.generate() 生成模型回答。</w:t>
      </w:r>
    </w:p>
    <w:p w14:paraId="314086A4">
      <w:pPr>
        <w:pStyle w:val="355"/>
      </w:pPr>
      <w:r>
        <w:rPr>
          <w:rFonts w:ascii="Times New Roman" w:hAnsi="Times New Roman" w:eastAsia="宋体"/>
          <w:sz w:val="21"/>
        </w:rPr>
        <w:t>将 id、subdomain、task_type、answer、prediction 等字段写入 predictions.jsonl。</w:t>
      </w:r>
    </w:p>
    <w:p w14:paraId="337A4D42">
      <w:pPr>
        <w:pStyle w:val="355"/>
      </w:pPr>
      <w:r>
        <w:rPr>
          <w:rFonts w:ascii="Times New Roman" w:hAnsi="Times New Roman" w:eastAsia="宋体"/>
          <w:sz w:val="21"/>
        </w:rPr>
        <w:t>支持 normal、shuffled、blank 三种图像输入设置，用于后续图像依赖性分析。</w:t>
      </w:r>
    </w:p>
    <w:p w14:paraId="59767593">
      <w:pPr>
        <w:pStyle w:val="351"/>
      </w:pPr>
      <w:r>
        <w:rPr>
          <w:rFonts w:ascii="Times New Roman" w:hAnsi="Times New Roman" w:eastAsia="宋体"/>
          <w:sz w:val="21"/>
        </w:rPr>
        <w:t>预测文件中的一条结果示例如下：</w:t>
      </w:r>
    </w:p>
    <w:p w14:paraId="29BAD4D5">
      <w:pPr>
        <w:pStyle w:val="354"/>
      </w:pPr>
      <w:r>
        <w:rPr>
          <w:rFonts w:ascii="Consolas" w:hAnsi="Consolas" w:eastAsia="等线"/>
          <w:sz w:val="16"/>
        </w:rPr>
        <w:t>{"id": "case_001", "subdomain": "chest_xray", "task_type": "yes_no", "answer": "否", "prediction": "否", "image_setting": "normal"}</w:t>
      </w:r>
    </w:p>
    <w:p w14:paraId="294BD992">
      <w:pPr>
        <w:pStyle w:val="4"/>
      </w:pPr>
      <w:r>
        <w:rPr>
          <w:rFonts w:ascii="Times New Roman" w:hAnsi="Times New Roman" w:eastAsia="宋体"/>
        </w:rPr>
        <w:t>2.6 执行评测</w:t>
      </w:r>
    </w:p>
    <w:p w14:paraId="4B76BFE4">
      <w:pPr>
        <w:pStyle w:val="5"/>
      </w:pPr>
      <w:r>
        <w:rPr>
          <w:rFonts w:ascii="Times New Roman" w:hAnsi="Times New Roman" w:eastAsia="宋体"/>
        </w:rPr>
        <w:t>2.6.1 评测原始模型</w:t>
      </w:r>
    </w:p>
    <w:p w14:paraId="65BCE8A4">
      <w:pPr>
        <w:pStyle w:val="351"/>
      </w:pPr>
      <w:r>
        <w:rPr>
          <w:rFonts w:ascii="Times New Roman" w:hAnsi="Times New Roman" w:eastAsia="宋体"/>
          <w:sz w:val="21"/>
        </w:rPr>
        <w:t>首先评测未经过本组数据微调的原始模型，作为 baseline。</w:t>
      </w:r>
    </w:p>
    <w:p w14:paraId="5F6684BC">
      <w:pPr>
        <w:pStyle w:val="5"/>
      </w:pPr>
      <w:r>
        <w:rPr>
          <w:rFonts w:ascii="Times New Roman" w:hAnsi="Times New Roman" w:eastAsia="宋体"/>
        </w:rPr>
        <w:t>2.6.2 评测增量预训练后的模型</w:t>
      </w:r>
    </w:p>
    <w:p w14:paraId="7C62CD5F">
      <w:pPr>
        <w:pStyle w:val="5"/>
      </w:pPr>
      <w:r>
        <w:rPr>
          <w:rFonts w:ascii="Times New Roman" w:hAnsi="Times New Roman" w:eastAsia="宋体"/>
        </w:rPr>
        <w:t>2.6.3 评测微调后的 LoRA 模型</w:t>
      </w:r>
    </w:p>
    <w:p w14:paraId="745D8537">
      <w:pPr>
        <w:pStyle w:val="5"/>
      </w:pPr>
      <w:r>
        <w:rPr>
          <w:rFonts w:ascii="Times New Roman" w:hAnsi="Times New Roman" w:eastAsia="宋体"/>
        </w:rPr>
        <w:t>2.6.4 图像依赖性消融评测</w:t>
      </w:r>
    </w:p>
    <w:p w14:paraId="778B9656">
      <w:pPr>
        <w:pStyle w:val="351"/>
      </w:pPr>
      <w:r>
        <w:rPr>
          <w:rFonts w:ascii="Times New Roman" w:hAnsi="Times New Roman" w:eastAsia="宋体"/>
          <w:sz w:val="21"/>
        </w:rPr>
        <w:t>为了判断模型是否真正利用图像信息，需要在同一批样本上进行三种设置下的推理：</w:t>
      </w:r>
    </w:p>
    <w:tbl>
      <w:tblPr>
        <w:tblStyle w:val="91"/>
        <w:tblW w:w="86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649"/>
      </w:tblGrid>
      <w:tr w14:paraId="3942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43A603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设置</w:t>
            </w:r>
          </w:p>
        </w:tc>
        <w:tc>
          <w:tcPr>
            <w:tcW w:w="2268" w:type="dxa"/>
            <w:vAlign w:val="center"/>
          </w:tcPr>
          <w:p w14:paraId="65381384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图片输入</w:t>
            </w:r>
          </w:p>
        </w:tc>
        <w:tc>
          <w:tcPr>
            <w:tcW w:w="4649" w:type="dxa"/>
            <w:vAlign w:val="center"/>
          </w:tcPr>
          <w:p w14:paraId="56421E01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目的</w:t>
            </w:r>
          </w:p>
        </w:tc>
      </w:tr>
      <w:tr w14:paraId="7CB3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C2FBE8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normal</w:t>
            </w:r>
          </w:p>
        </w:tc>
        <w:tc>
          <w:tcPr>
            <w:tcW w:w="2268" w:type="dxa"/>
            <w:vAlign w:val="center"/>
          </w:tcPr>
          <w:p w14:paraId="7DA4882C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使用正确图片</w:t>
            </w:r>
          </w:p>
        </w:tc>
        <w:tc>
          <w:tcPr>
            <w:tcW w:w="4649" w:type="dxa"/>
            <w:vAlign w:val="center"/>
          </w:tcPr>
          <w:p w14:paraId="577B34A0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正常评测</w:t>
            </w:r>
          </w:p>
        </w:tc>
      </w:tr>
      <w:tr w14:paraId="27A6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C1A832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shuffled</w:t>
            </w:r>
          </w:p>
        </w:tc>
        <w:tc>
          <w:tcPr>
            <w:tcW w:w="2268" w:type="dxa"/>
            <w:vAlign w:val="center"/>
          </w:tcPr>
          <w:p w14:paraId="17068EEA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使用随机打乱后的其他图片</w:t>
            </w:r>
          </w:p>
        </w:tc>
        <w:tc>
          <w:tcPr>
            <w:tcW w:w="4649" w:type="dxa"/>
            <w:vAlign w:val="center"/>
          </w:tcPr>
          <w:p w14:paraId="38D1C1D8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检查模型是否忽略图片</w:t>
            </w:r>
          </w:p>
        </w:tc>
      </w:tr>
      <w:tr w14:paraId="50451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6A32C4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blank</w:t>
            </w:r>
          </w:p>
        </w:tc>
        <w:tc>
          <w:tcPr>
            <w:tcW w:w="2268" w:type="dxa"/>
            <w:vAlign w:val="center"/>
          </w:tcPr>
          <w:p w14:paraId="6FB51C98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使用纯白或纯黑空白图片</w:t>
            </w:r>
          </w:p>
        </w:tc>
        <w:tc>
          <w:tcPr>
            <w:tcW w:w="4649" w:type="dxa"/>
            <w:vAlign w:val="center"/>
          </w:tcPr>
          <w:p w14:paraId="2AEE8B2E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检查模型是否只依赖问题文本或语言先验</w:t>
            </w:r>
          </w:p>
        </w:tc>
      </w:tr>
    </w:tbl>
    <w:p w14:paraId="06E489B0">
      <w:pPr>
        <w:pStyle w:val="4"/>
      </w:pPr>
      <w:r>
        <w:rPr>
          <w:rFonts w:ascii="Times New Roman" w:hAnsi="Times New Roman" w:eastAsia="宋体"/>
        </w:rPr>
        <w:t>2.7 评测指标与数学公式</w:t>
      </w:r>
    </w:p>
    <w:p w14:paraId="4C775AF7">
      <w:pPr>
        <w:pStyle w:val="351"/>
      </w:pPr>
      <w:r>
        <w:rPr>
          <w:rFonts w:ascii="Times New Roman" w:hAnsi="Times New Roman" w:eastAsia="宋体"/>
          <w:sz w:val="21"/>
        </w:rPr>
        <w:t>本实验不要求统一使用同一个公开 benchmark 排名，也不要求直接复制指标计算代码。每个小组需要根据 task_type 选择合适的评测指标，并在报告中写清楚指标含义和计算方式。</w:t>
      </w:r>
    </w:p>
    <w:p w14:paraId="7D58A001">
      <w:pPr>
        <w:pStyle w:val="351"/>
      </w:pPr>
      <w:r>
        <w:rPr>
          <w:rFonts w:ascii="Times New Roman" w:hAnsi="Times New Roman" w:eastAsia="宋体"/>
          <w:sz w:val="21"/>
        </w:rPr>
        <w:t>建议使用以下指标：</w:t>
      </w:r>
    </w:p>
    <w:tbl>
      <w:tblPr>
        <w:tblStyle w:val="91"/>
        <w:tblW w:w="86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649"/>
      </w:tblGrid>
      <w:tr w14:paraId="74BB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1045C7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题型</w:t>
            </w:r>
          </w:p>
        </w:tc>
        <w:tc>
          <w:tcPr>
            <w:tcW w:w="2268" w:type="dxa"/>
            <w:vAlign w:val="center"/>
          </w:tcPr>
          <w:p w14:paraId="01AAB4E6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推荐指标</w:t>
            </w:r>
          </w:p>
        </w:tc>
        <w:tc>
          <w:tcPr>
            <w:tcW w:w="4649" w:type="dxa"/>
            <w:vAlign w:val="center"/>
          </w:tcPr>
          <w:p w14:paraId="6DF2E025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说明</w:t>
            </w:r>
          </w:p>
        </w:tc>
      </w:tr>
      <w:tr w14:paraId="0682A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D1F285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判断题</w:t>
            </w:r>
          </w:p>
        </w:tc>
        <w:tc>
          <w:tcPr>
            <w:tcW w:w="2268" w:type="dxa"/>
            <w:vAlign w:val="center"/>
          </w:tcPr>
          <w:p w14:paraId="1F2C2A49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Accuracy</w:t>
            </w:r>
          </w:p>
        </w:tc>
        <w:tc>
          <w:tcPr>
            <w:tcW w:w="4649" w:type="dxa"/>
            <w:vAlign w:val="center"/>
          </w:tcPr>
          <w:p w14:paraId="4BEDA8C4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判断模型是否正确回答“是/否”</w:t>
            </w:r>
          </w:p>
        </w:tc>
      </w:tr>
      <w:tr w14:paraId="37B1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9C5A19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选择题</w:t>
            </w:r>
          </w:p>
        </w:tc>
        <w:tc>
          <w:tcPr>
            <w:tcW w:w="2268" w:type="dxa"/>
            <w:vAlign w:val="center"/>
          </w:tcPr>
          <w:p w14:paraId="2E995A30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Accuracy</w:t>
            </w:r>
          </w:p>
        </w:tc>
        <w:tc>
          <w:tcPr>
            <w:tcW w:w="4649" w:type="dxa"/>
            <w:vAlign w:val="center"/>
          </w:tcPr>
          <w:p w14:paraId="0CE154B8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判断模型是否选择正确选项 A/B/C/D</w:t>
            </w:r>
          </w:p>
        </w:tc>
      </w:tr>
      <w:tr w14:paraId="739C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C36980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短答案</w:t>
            </w:r>
          </w:p>
        </w:tc>
        <w:tc>
          <w:tcPr>
            <w:tcW w:w="2268" w:type="dxa"/>
            <w:vAlign w:val="center"/>
          </w:tcPr>
          <w:p w14:paraId="3F9CA77A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Precision、Recall、F1</w:t>
            </w:r>
          </w:p>
        </w:tc>
        <w:tc>
          <w:tcPr>
            <w:tcW w:w="4649" w:type="dxa"/>
            <w:vAlign w:val="center"/>
          </w:tcPr>
          <w:p w14:paraId="3B863F39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衡量短答案与标准答案的词或字重合程度</w:t>
            </w:r>
          </w:p>
        </w:tc>
      </w:tr>
      <w:tr w14:paraId="5C77E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FB4D37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描述题</w:t>
            </w:r>
          </w:p>
        </w:tc>
        <w:tc>
          <w:tcPr>
            <w:tcW w:w="2268" w:type="dxa"/>
            <w:vAlign w:val="center"/>
          </w:tcPr>
          <w:p w14:paraId="39105B0F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ROUGE-L</w:t>
            </w:r>
          </w:p>
        </w:tc>
        <w:tc>
          <w:tcPr>
            <w:tcW w:w="4649" w:type="dxa"/>
            <w:vAlign w:val="center"/>
          </w:tcPr>
          <w:p w14:paraId="7C809BDF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衡量生成描述与参考描述的最长公共子序列相似度</w:t>
            </w:r>
          </w:p>
        </w:tc>
      </w:tr>
      <w:tr w14:paraId="4171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641970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消融</w:t>
            </w:r>
          </w:p>
        </w:tc>
        <w:tc>
          <w:tcPr>
            <w:tcW w:w="2268" w:type="dxa"/>
            <w:vAlign w:val="center"/>
          </w:tcPr>
          <w:p w14:paraId="31001F95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Score 差值</w:t>
            </w:r>
          </w:p>
        </w:tc>
        <w:tc>
          <w:tcPr>
            <w:tcW w:w="4649" w:type="dxa"/>
            <w:vAlign w:val="center"/>
          </w:tcPr>
          <w:p w14:paraId="191C1409">
            <w:pPr>
              <w:pStyle w:val="264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比较 normal、shuffled、blank 三种输入下的指标变化</w:t>
            </w:r>
          </w:p>
        </w:tc>
      </w:tr>
    </w:tbl>
    <w:p w14:paraId="044F3B44"/>
    <w:p w14:paraId="4427BDBB">
      <w:pPr>
        <w:pStyle w:val="5"/>
      </w:pPr>
      <w:r>
        <w:rPr>
          <w:rFonts w:ascii="Times New Roman" w:hAnsi="Times New Roman" w:eastAsia="宋体"/>
        </w:rPr>
        <w:t>2.7.4 图像依赖性指标</w:t>
      </w:r>
    </w:p>
    <w:p w14:paraId="2C205BAA">
      <w:pPr>
        <w:pStyle w:val="351"/>
      </w:pPr>
      <w:r>
        <w:rPr>
          <w:rFonts w:ascii="Times New Roman" w:hAnsi="Times New Roman" w:eastAsia="宋体"/>
          <w:sz w:val="21"/>
        </w:rPr>
        <w:t>图像依赖性可以通过 normal、shuffled、blank 三种设置下的指标差值进行观察。设 Score_normal、Score_shuffled、Score_blank 分别表示三种设置下的得分，则：</w:t>
      </w:r>
    </w:p>
    <w:p w14:paraId="1BD991CE">
      <w:pPr>
        <w:pStyle w:val="354"/>
      </w:pPr>
      <w:r>
        <w:rPr>
          <w:rFonts w:ascii="Consolas" w:hAnsi="Consolas" w:eastAsia="等线"/>
          <w:sz w:val="16"/>
        </w:rPr>
        <w:t>Δ_shuffle = Score_normal - Score_shuffled</w:t>
      </w:r>
      <w:r>
        <w:rPr>
          <w:rFonts w:ascii="Consolas" w:hAnsi="Consolas" w:eastAsia="等线"/>
          <w:sz w:val="16"/>
        </w:rPr>
        <w:br w:type="textWrapping"/>
      </w:r>
      <w:r>
        <w:rPr>
          <w:rFonts w:ascii="Consolas" w:hAnsi="Consolas" w:eastAsia="等线"/>
          <w:sz w:val="16"/>
        </w:rPr>
        <w:t>Δ_blank = Score_normal - Score_blank</w:t>
      </w:r>
    </w:p>
    <w:p w14:paraId="16A878F4">
      <w:pPr>
        <w:pStyle w:val="351"/>
      </w:pPr>
      <w:r>
        <w:rPr>
          <w:rFonts w:ascii="Times New Roman" w:hAnsi="Times New Roman" w:eastAsia="宋体"/>
          <w:sz w:val="21"/>
        </w:rPr>
        <w:t>如果 Δ_shuffle 和 Δ_blank 较大，说明模型较可能利用了图像信息。如果三种设置下得分和输出都接近，说明模型可能主要依赖问题文本或语言先验。</w:t>
      </w:r>
    </w:p>
    <w:p w14:paraId="418E7E06">
      <w:pPr>
        <w:pStyle w:val="4"/>
      </w:pPr>
      <w:r>
        <w:rPr>
          <w:rFonts w:ascii="Times New Roman" w:hAnsi="Times New Roman" w:eastAsia="宋体"/>
        </w:rPr>
        <w:t>2.8 结果分析</w:t>
      </w:r>
    </w:p>
    <w:p w14:paraId="298AEE45">
      <w:pPr>
        <w:pStyle w:val="351"/>
      </w:pPr>
      <w:r>
        <w:rPr>
          <w:rFonts w:ascii="Times New Roman" w:hAnsi="Times New Roman" w:eastAsia="宋体"/>
          <w:sz w:val="21"/>
        </w:rPr>
        <w:t>每个小组最终需要提交评测结果和分析报告。报告不应只给出一个分数，而应说明模型在哪些题型上提升、在哪些情况下失败，以及模型是否真正利用了图像信息。</w:t>
      </w:r>
    </w:p>
    <w:p w14:paraId="35CB6686">
      <w:pPr>
        <w:pStyle w:val="351"/>
      </w:pPr>
      <w:r>
        <w:rPr>
          <w:rFonts w:ascii="Times New Roman" w:hAnsi="Times New Roman" w:eastAsia="宋体"/>
          <w:sz w:val="21"/>
        </w:rPr>
        <w:t>报告建议包含以下内容：</w:t>
      </w:r>
    </w:p>
    <w:p w14:paraId="32952ADD">
      <w:pPr>
        <w:pStyle w:val="355"/>
      </w:pPr>
      <w:r>
        <w:rPr>
          <w:rFonts w:ascii="Times New Roman" w:hAnsi="Times New Roman" w:eastAsia="宋体"/>
          <w:sz w:val="21"/>
        </w:rPr>
        <w:t>本组医学子领域、数据来源和评测样本数量。</w:t>
      </w:r>
    </w:p>
    <w:p w14:paraId="1F96C0B3">
      <w:pPr>
        <w:pStyle w:val="355"/>
      </w:pPr>
      <w:r>
        <w:rPr>
          <w:rFonts w:ascii="Times New Roman" w:hAnsi="Times New Roman" w:eastAsia="宋体"/>
          <w:sz w:val="21"/>
        </w:rPr>
        <w:t>Base、CPT、SFT 三个模型版本的整体指标对比。</w:t>
      </w:r>
    </w:p>
    <w:p w14:paraId="2B021898">
      <w:pPr>
        <w:pStyle w:val="355"/>
      </w:pPr>
      <w:r>
        <w:rPr>
          <w:rFonts w:ascii="Times New Roman" w:hAnsi="Times New Roman" w:eastAsia="宋体"/>
          <w:sz w:val="21"/>
        </w:rPr>
        <w:t>不同题型上的指标对比，例如 yes/no、mcq、short_answer、description。</w:t>
      </w:r>
    </w:p>
    <w:p w14:paraId="08C68CA3">
      <w:pPr>
        <w:pStyle w:val="355"/>
      </w:pPr>
      <w:r>
        <w:rPr>
          <w:rFonts w:ascii="Times New Roman" w:hAnsi="Times New Roman" w:eastAsia="宋体"/>
          <w:sz w:val="21"/>
        </w:rPr>
        <w:t>normal、shuffled、blank 三种图像输入设置下的结果对比。</w:t>
      </w:r>
    </w:p>
    <w:p w14:paraId="6D320C79">
      <w:pPr>
        <w:pStyle w:val="355"/>
      </w:pPr>
      <w:r>
        <w:rPr>
          <w:rFonts w:ascii="Times New Roman" w:hAnsi="Times New Roman" w:eastAsia="宋体"/>
          <w:sz w:val="21"/>
        </w:rPr>
        <w:t>至少 5 个错误案例分析，包括标准答案、模型输出和错误原因。</w:t>
      </w:r>
    </w:p>
    <w:p w14:paraId="36E1B0B4">
      <w:pPr>
        <w:pStyle w:val="355"/>
      </w:pPr>
      <w:r>
        <w:rPr>
          <w:rFonts w:ascii="Times New Roman" w:hAnsi="Times New Roman" w:eastAsia="宋体"/>
          <w:sz w:val="21"/>
        </w:rPr>
        <w:t>医学安全性分析，包括幻觉、过度诊断和不恰当建议等问题。</w:t>
      </w:r>
    </w:p>
    <w:p w14:paraId="68BDC030"/>
    <w:p w14:paraId="79E50E2D">
      <w:pPr>
        <w:pStyle w:val="3"/>
      </w:pPr>
      <w:r>
        <w:rPr>
          <w:rFonts w:ascii="Times New Roman" w:hAnsi="Times New Roman" w:eastAsia="宋体"/>
        </w:rPr>
        <w:t>3 实验小结</w:t>
      </w:r>
    </w:p>
    <w:p w14:paraId="64D6302F">
      <w:pPr>
        <w:pStyle w:val="351"/>
      </w:pPr>
      <w:r>
        <w:rPr>
          <w:rFonts w:ascii="Times New Roman" w:hAnsi="Times New Roman" w:eastAsia="宋体"/>
          <w:sz w:val="21"/>
        </w:rPr>
        <w:t>本实验完成了一个完整的医学多模态模型评测流程。通过本实验，同学们不只是训练模型或调用模型，而是进一步理解如何判断模型是否真正有效、是否真正看图以及是否适合在医学场景中使用。</w:t>
      </w:r>
    </w:p>
    <w:p w14:paraId="34E8E09A">
      <w:pPr>
        <w:pStyle w:val="351"/>
      </w:pPr>
      <w:r>
        <w:rPr>
          <w:rFonts w:ascii="Times New Roman" w:hAnsi="Times New Roman" w:eastAsia="宋体"/>
          <w:sz w:val="21"/>
        </w:rPr>
        <w:t>本实验的关键点包括：</w:t>
      </w:r>
    </w:p>
    <w:p w14:paraId="1D6AB75A">
      <w:pPr>
        <w:pStyle w:val="355"/>
      </w:pPr>
      <w:r>
        <w:rPr>
          <w:rFonts w:ascii="Times New Roman" w:hAnsi="Times New Roman" w:eastAsia="宋体"/>
          <w:sz w:val="21"/>
        </w:rPr>
        <w:t>不同医学子领域可以使用不同评测集，但必须采用统一的数据格式和分析方法。</w:t>
      </w:r>
    </w:p>
    <w:p w14:paraId="5E04D8FB">
      <w:pPr>
        <w:pStyle w:val="355"/>
      </w:pPr>
      <w:r>
        <w:rPr>
          <w:rFonts w:ascii="Times New Roman" w:hAnsi="Times New Roman" w:eastAsia="宋体"/>
          <w:sz w:val="21"/>
        </w:rPr>
        <w:t>评测时应比较 Base、CPT、SFT 等不同模型版本，而不是只报告单个模型分数。</w:t>
      </w:r>
    </w:p>
    <w:p w14:paraId="6282EDAF">
      <w:pPr>
        <w:pStyle w:val="355"/>
      </w:pPr>
      <w:r>
        <w:rPr>
          <w:rFonts w:ascii="Times New Roman" w:hAnsi="Times New Roman" w:eastAsia="宋体"/>
          <w:sz w:val="21"/>
        </w:rPr>
        <w:t>yes/no 和多选题适合使用 Accuracy，短答案适合使用 F1，图像描述适合使用 ROUGE-L。</w:t>
      </w:r>
    </w:p>
    <w:p w14:paraId="6A924B07">
      <w:pPr>
        <w:pStyle w:val="355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图像打乱和空白图消融可以帮助判断模型是否真正利用图像。</w:t>
      </w:r>
    </w:p>
    <w:p w14:paraId="02FFBFDC">
      <w:pPr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br w:type="page"/>
      </w:r>
    </w:p>
    <w:p w14:paraId="5B94D468">
      <w:pPr>
        <w:pStyle w:val="199"/>
        <w:rPr>
          <w:sz w:val="24"/>
        </w:rPr>
      </w:pPr>
    </w:p>
    <w:p w14:paraId="13BA3A3B">
      <w:pPr>
        <w:pStyle w:val="199"/>
        <w:rPr>
          <w:sz w:val="24"/>
        </w:rPr>
      </w:pPr>
    </w:p>
    <w:p w14:paraId="01B36619">
      <w:pPr>
        <w:pStyle w:val="199"/>
        <w:rPr>
          <w:sz w:val="24"/>
        </w:rPr>
      </w:pPr>
    </w:p>
    <w:p w14:paraId="09674F15">
      <w:pPr>
        <w:pStyle w:val="199"/>
        <w:rPr>
          <w:sz w:val="24"/>
        </w:rPr>
      </w:pPr>
    </w:p>
    <w:p w14:paraId="0C6AA694">
      <w:pPr>
        <w:pStyle w:val="199"/>
        <w:rPr>
          <w:sz w:val="24"/>
        </w:rPr>
      </w:pPr>
    </w:p>
    <w:p w14:paraId="545A4932">
      <w:pPr>
        <w:pStyle w:val="199"/>
        <w:rPr>
          <w:sz w:val="24"/>
        </w:rPr>
      </w:pPr>
    </w:p>
    <w:p w14:paraId="6F914F5C">
      <w:pPr>
        <w:pStyle w:val="199"/>
        <w:rPr>
          <w:sz w:val="24"/>
        </w:rPr>
      </w:pPr>
    </w:p>
    <w:p w14:paraId="776EB293">
      <w:pPr>
        <w:pStyle w:val="199"/>
        <w:rPr>
          <w:sz w:val="24"/>
        </w:rPr>
      </w:pPr>
    </w:p>
    <w:p w14:paraId="1F39F94B">
      <w:pPr>
        <w:pStyle w:val="199"/>
        <w:rPr>
          <w:sz w:val="24"/>
        </w:rPr>
      </w:pPr>
    </w:p>
    <w:p w14:paraId="3665279C">
      <w:pPr>
        <w:pStyle w:val="199"/>
        <w:rPr>
          <w:sz w:val="24"/>
        </w:rPr>
      </w:pPr>
    </w:p>
    <w:p w14:paraId="16E6A63E">
      <w:pPr>
        <w:pStyle w:val="199"/>
        <w:rPr>
          <w:sz w:val="24"/>
        </w:rPr>
      </w:pPr>
    </w:p>
    <w:p w14:paraId="6163FE93">
      <w:pPr>
        <w:pStyle w:val="199"/>
        <w:rPr>
          <w:sz w:val="24"/>
        </w:rPr>
      </w:pPr>
    </w:p>
    <w:p w14:paraId="123AC507">
      <w:pPr>
        <w:pStyle w:val="199"/>
        <w:rPr>
          <w:sz w:val="24"/>
        </w:rPr>
      </w:pPr>
    </w:p>
    <w:p w14:paraId="1F77719D">
      <w:pPr>
        <w:pStyle w:val="199"/>
        <w:rPr>
          <w:sz w:val="24"/>
        </w:rPr>
      </w:pPr>
    </w:p>
    <w:p w14:paraId="5A7EEE80">
      <w:pPr>
        <w:pStyle w:val="199"/>
        <w:rPr>
          <w:sz w:val="24"/>
        </w:rPr>
      </w:pPr>
    </w:p>
    <w:p w14:paraId="565CD1F1">
      <w:pPr>
        <w:pStyle w:val="199"/>
        <w:rPr>
          <w:sz w:val="24"/>
        </w:rPr>
      </w:pPr>
    </w:p>
    <w:p w14:paraId="2556F23A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55A2E298">
      <w:pPr>
        <w:pStyle w:val="199"/>
        <w:rPr>
          <w:rFonts w:hint="default" w:cs="Times New Roman" w:asciiTheme="minorEastAsia" w:hAnsiTheme="minorEastAsia" w:eastAsiaTheme="minorEastAsia"/>
          <w:lang w:val="en-US" w:eastAsia="zh-CN"/>
        </w:rPr>
      </w:pPr>
      <w:r>
        <w:rPr>
          <w:rFonts w:hint="eastAsia"/>
        </w:rPr>
        <w:t>医学多模态模型前端展示与交互问答实验手册</w:t>
      </w:r>
    </w:p>
    <w:p w14:paraId="64AC8EC9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13F0F84E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6765F433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320D7AE6">
      <w:pPr>
        <w:pStyle w:val="224"/>
        <w:rPr>
          <w:rFonts w:cs="Times New Roman" w:asciiTheme="minorEastAsia" w:hAnsiTheme="minorEastAsia" w:eastAsiaTheme="minorEastAsia"/>
        </w:rPr>
      </w:pPr>
    </w:p>
    <w:p w14:paraId="3BF1CB61">
      <w:pPr>
        <w:rPr>
          <w:rFonts w:cs="Times New Roman" w:asciiTheme="minorEastAsia" w:hAnsiTheme="minorEastAsia" w:eastAsiaTheme="minorEastAsia"/>
        </w:rPr>
      </w:pPr>
      <w:r>
        <w:rPr>
          <w:rFonts w:cs="Times New Roman" w:asciiTheme="minorEastAsia" w:hAnsiTheme="minorEastAsia" w:eastAsiaTheme="minorEastAsia"/>
          <w:caps/>
          <w:sz w:val="21"/>
        </w:rPr>
        <w:fldChar w:fldCharType="begin"/>
      </w:r>
      <w:r>
        <w:rPr>
          <w:rFonts w:cs="Times New Roman" w:asciiTheme="minorEastAsia" w:hAnsiTheme="minorEastAsia" w:eastAsiaTheme="minorEastAsia"/>
          <w:caps/>
          <w:sz w:val="21"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caps/>
          <w:sz w:val="21"/>
        </w:rPr>
        <w:fldChar w:fldCharType="end"/>
      </w:r>
    </w:p>
    <w:p w14:paraId="05E765FC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cs="Times New Roman" w:asciiTheme="minorEastAsia" w:hAnsiTheme="minorEastAsia" w:eastAsiaTheme="minorEastAsia"/>
          <w:lang w:eastAsia="zh-CN"/>
        </w:rPr>
        <w:t>厦门大学</w:t>
      </w:r>
      <w:r>
        <w:rPr>
          <w:rFonts w:cs="Times New Roman" w:asciiTheme="minorEastAsia" w:hAnsiTheme="minorEastAsia" w:eastAsiaTheme="minorEastAsia"/>
          <w:lang w:eastAsia="zh-CN"/>
        </w:rPr>
        <w:fldChar w:fldCharType="begin"/>
      </w:r>
      <w:r>
        <w:rPr>
          <w:rFonts w:cs="Times New Roman" w:asciiTheme="minorEastAsia" w:hAnsiTheme="minorEastAsia" w:eastAsiaTheme="minorEastAsia"/>
          <w:lang w:eastAsia="zh-CN"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lang w:eastAsia="zh-CN"/>
        </w:rPr>
        <w:fldChar w:fldCharType="end"/>
      </w:r>
    </w:p>
    <w:p w14:paraId="489243DC">
      <w:pPr>
        <w:pStyle w:val="199"/>
        <w:rPr>
          <w:rFonts w:cs="Times New Roman" w:asciiTheme="minorEastAsia" w:hAnsiTheme="minorEastAsia" w:eastAsiaTheme="minorEastAsia"/>
        </w:rPr>
        <w:sectPr>
          <w:pgSz w:w="11906" w:h="16838"/>
          <w:pgMar w:top="1440" w:right="1803" w:bottom="1440" w:left="1803" w:header="567" w:footer="567" w:gutter="0"/>
          <w:pgNumType w:start="1"/>
          <w:cols w:space="425" w:num="1"/>
          <w:docGrid w:linePitch="312" w:charSpace="0"/>
        </w:sectPr>
      </w:pPr>
      <w:r>
        <w:rPr>
          <w:rFonts w:cs="Times New Roman" w:asciiTheme="minorEastAsia" w:hAnsiTheme="minorEastAsia" w:eastAsiaTheme="minorEastAsia"/>
          <w:lang w:eastAsia="zh-CN"/>
        </w:rPr>
        <w:t>信息学院</w:t>
      </w:r>
    </w:p>
    <w:p w14:paraId="06B250DE">
      <w:pPr>
        <w:pStyle w:val="355"/>
        <w:ind w:left="0" w:leftChars="0" w:firstLine="0" w:firstLineChars="0"/>
        <w:rPr>
          <w:rFonts w:ascii="Times New Roman" w:hAnsi="Times New Roman" w:eastAsia="宋体"/>
          <w:sz w:val="21"/>
        </w:rPr>
      </w:pPr>
    </w:p>
    <w:p w14:paraId="251A665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 实验介绍</w:t>
      </w:r>
    </w:p>
    <w:p w14:paraId="2B5F139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1.1 实验背景</w:t>
      </w:r>
    </w:p>
    <w:p w14:paraId="5CB95E4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在前几次实验中，同学们已经完成了多模态模型部署、数据爬取、数据清洗、增量预训练、监督指令微调和医学多模态模型评测。到 Lab7 开始时，理论上每个小组本地已经拥有自己的医学子领域数据、训练后的 LoRA adapter、评测预测文件和指标结果。</w:t>
      </w:r>
    </w:p>
    <w:p w14:paraId="17A521A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本次实验不再训练模型，也不要求重新构造训练集或评测集。Lab7 的核心目标是学习如何把已有模型和已有评测结果做成一个可展示、可浏览、可交互的前端系统。教师端为了便于课堂演示，将提供一份可直接运行的演示数据包；其中包含演示图片、预测结果和指标文件，但不包含真实训练模型。</w:t>
      </w:r>
    </w:p>
    <w:p w14:paraId="6FB77A7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因此，本实验的前端代码默认保留模型调用接口，但以演示模式运行。没有本地模型时，系统仍然可以打开网页、展示指标、浏览预测样本，并在交互问答页面返回占位回答。后续同学只需把自己的模型路径和评测结果替换进去，即可形成小组项目展示页面。</w:t>
      </w:r>
    </w:p>
    <w:p w14:paraId="60B4A2C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1.2 实验目的</w:t>
      </w:r>
    </w:p>
    <w:p w14:paraId="19B077B9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理解“训练结果—评测结果—前端展示—交互问答”的工程链路。</w:t>
      </w:r>
    </w:p>
    <w:p w14:paraId="3FF98C94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掌握使用 Streamlit 快速搭建机器学习展示 Demo 的基本方法。</w:t>
      </w:r>
    </w:p>
    <w:p w14:paraId="7300B268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能够读取并展示 metrics_summary.json、predictions.jsonl 等评测产物。</w:t>
      </w:r>
    </w:p>
    <w:p w14:paraId="7AB432EE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能够实现模型版本选择、指标对比、预测样本浏览和错误案例筛选。</w:t>
      </w:r>
    </w:p>
    <w:p w14:paraId="5C106168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能够实现图像上传、问题输入、模型调用接口预留和回答展示。</w:t>
      </w:r>
    </w:p>
    <w:p w14:paraId="23FCF19A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能够区分演示模式与真实模型推理模式，并在后续项目中替换为自己的模型。</w:t>
      </w:r>
    </w:p>
    <w:p w14:paraId="5643BBF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1.3 实验清单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2226"/>
        <w:gridCol w:w="1218"/>
        <w:gridCol w:w="1779"/>
        <w:gridCol w:w="1665"/>
      </w:tblGrid>
      <w:tr w14:paraId="6DA09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8" w:type="dxa"/>
            <w:shd w:val="clear" w:color="auto" w:fill="D9EAF7"/>
          </w:tcPr>
          <w:p w14:paraId="52526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实验任务</w:t>
            </w:r>
          </w:p>
        </w:tc>
        <w:tc>
          <w:tcPr>
            <w:tcW w:w="2226" w:type="dxa"/>
            <w:shd w:val="clear" w:color="auto" w:fill="D9EAF7"/>
          </w:tcPr>
          <w:p w14:paraId="72C4F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简述</w:t>
            </w:r>
          </w:p>
        </w:tc>
        <w:tc>
          <w:tcPr>
            <w:tcW w:w="1218" w:type="dxa"/>
            <w:shd w:val="clear" w:color="auto" w:fill="D9EAF7"/>
          </w:tcPr>
          <w:p w14:paraId="133A46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难度</w:t>
            </w:r>
          </w:p>
        </w:tc>
        <w:tc>
          <w:tcPr>
            <w:tcW w:w="1779" w:type="dxa"/>
            <w:shd w:val="clear" w:color="auto" w:fill="D9EAF7"/>
          </w:tcPr>
          <w:p w14:paraId="5DCC50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软件环境</w:t>
            </w:r>
          </w:p>
        </w:tc>
        <w:tc>
          <w:tcPr>
            <w:tcW w:w="1665" w:type="dxa"/>
            <w:shd w:val="clear" w:color="auto" w:fill="D9EAF7"/>
          </w:tcPr>
          <w:p w14:paraId="50E90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开发环境</w:t>
            </w:r>
          </w:p>
        </w:tc>
      </w:tr>
      <w:tr w14:paraId="242F6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8" w:type="dxa"/>
          </w:tcPr>
          <w:p w14:paraId="3836F3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前端页面搭建</w:t>
            </w:r>
          </w:p>
        </w:tc>
        <w:tc>
          <w:tcPr>
            <w:tcW w:w="2226" w:type="dxa"/>
          </w:tcPr>
          <w:p w14:paraId="2D9CBA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使用 Streamlit 搭建多页面展示系统</w:t>
            </w:r>
          </w:p>
        </w:tc>
        <w:tc>
          <w:tcPr>
            <w:tcW w:w="1218" w:type="dxa"/>
          </w:tcPr>
          <w:p w14:paraId="108BC5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中级</w:t>
            </w:r>
          </w:p>
        </w:tc>
        <w:tc>
          <w:tcPr>
            <w:tcW w:w="1779" w:type="dxa"/>
          </w:tcPr>
          <w:p w14:paraId="759A2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Python 3.10</w:t>
            </w:r>
          </w:p>
        </w:tc>
        <w:tc>
          <w:tcPr>
            <w:tcW w:w="1665" w:type="dxa"/>
          </w:tcPr>
          <w:p w14:paraId="00111E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本地 PC</w:t>
            </w:r>
          </w:p>
        </w:tc>
      </w:tr>
      <w:tr w14:paraId="303D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8" w:type="dxa"/>
          </w:tcPr>
          <w:p w14:paraId="247BF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评测结果可视化</w:t>
            </w:r>
          </w:p>
        </w:tc>
        <w:tc>
          <w:tcPr>
            <w:tcW w:w="2226" w:type="dxa"/>
          </w:tcPr>
          <w:p w14:paraId="652B7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展示指标表、柱状图、预测样本和错误案例</w:t>
            </w:r>
          </w:p>
        </w:tc>
        <w:tc>
          <w:tcPr>
            <w:tcW w:w="1218" w:type="dxa"/>
          </w:tcPr>
          <w:p w14:paraId="7F5FD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中级</w:t>
            </w:r>
          </w:p>
        </w:tc>
        <w:tc>
          <w:tcPr>
            <w:tcW w:w="1779" w:type="dxa"/>
          </w:tcPr>
          <w:p w14:paraId="3C485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pandas / plotly</w:t>
            </w:r>
          </w:p>
        </w:tc>
        <w:tc>
          <w:tcPr>
            <w:tcW w:w="1665" w:type="dxa"/>
          </w:tcPr>
          <w:p w14:paraId="363FA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本地 PC</w:t>
            </w:r>
          </w:p>
        </w:tc>
      </w:tr>
      <w:tr w14:paraId="6445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8" w:type="dxa"/>
          </w:tcPr>
          <w:p w14:paraId="73383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交互问答页面</w:t>
            </w:r>
          </w:p>
        </w:tc>
        <w:tc>
          <w:tcPr>
            <w:tcW w:w="2226" w:type="dxa"/>
          </w:tcPr>
          <w:p w14:paraId="2EEA56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上传图片、输入问题、选择模型版本并调用预留推理接口</w:t>
            </w:r>
          </w:p>
        </w:tc>
        <w:tc>
          <w:tcPr>
            <w:tcW w:w="1218" w:type="dxa"/>
          </w:tcPr>
          <w:p w14:paraId="1F81DC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中级</w:t>
            </w:r>
          </w:p>
        </w:tc>
        <w:tc>
          <w:tcPr>
            <w:tcW w:w="1779" w:type="dxa"/>
          </w:tcPr>
          <w:p w14:paraId="7A971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Streamlit / PIL</w:t>
            </w:r>
          </w:p>
        </w:tc>
        <w:tc>
          <w:tcPr>
            <w:tcW w:w="1665" w:type="dxa"/>
          </w:tcPr>
          <w:p w14:paraId="5FF437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本地 PC</w:t>
            </w:r>
          </w:p>
        </w:tc>
      </w:tr>
      <w:tr w14:paraId="3420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8" w:type="dxa"/>
          </w:tcPr>
          <w:p w14:paraId="113AB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模型替换扩展</w:t>
            </w:r>
          </w:p>
        </w:tc>
        <w:tc>
          <w:tcPr>
            <w:tcW w:w="2226" w:type="dxa"/>
          </w:tcPr>
          <w:p w14:paraId="160B0D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将演示模式替换为本组 Base/CPT/SFT 模型</w:t>
            </w:r>
          </w:p>
        </w:tc>
        <w:tc>
          <w:tcPr>
            <w:tcW w:w="1218" w:type="dxa"/>
          </w:tcPr>
          <w:p w14:paraId="2456EA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中高级</w:t>
            </w:r>
          </w:p>
        </w:tc>
        <w:tc>
          <w:tcPr>
            <w:tcW w:w="1779" w:type="dxa"/>
          </w:tcPr>
          <w:p w14:paraId="40554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transformers / peft</w:t>
            </w:r>
          </w:p>
        </w:tc>
        <w:tc>
          <w:tcPr>
            <w:tcW w:w="1665" w:type="dxa"/>
          </w:tcPr>
          <w:p w14:paraId="12EA8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GPU 服务器优先</w:t>
            </w:r>
          </w:p>
        </w:tc>
      </w:tr>
    </w:tbl>
    <w:p w14:paraId="363F93C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1.4 本次实验的定位</w:t>
      </w:r>
    </w:p>
    <w:p w14:paraId="12521C3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Lab7 面向“展示与应用”，而不是“训练与评测”。前端页面只负责把已经得到的模型和结果组织起来；至于数据爬取、数据清洗、LoRA 训练和评测指标计算，均已经在前序实验中完成。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991"/>
        <w:gridCol w:w="2765"/>
      </w:tblGrid>
      <w:tr w14:paraId="03E2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</w:tcPr>
          <w:p w14:paraId="16F8C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前序实验</w:t>
            </w:r>
          </w:p>
        </w:tc>
        <w:tc>
          <w:tcPr>
            <w:tcW w:w="3211" w:type="dxa"/>
            <w:shd w:val="clear" w:color="auto" w:fill="D9EAF7"/>
          </w:tcPr>
          <w:p w14:paraId="06E061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已有产物</w:t>
            </w:r>
          </w:p>
        </w:tc>
        <w:tc>
          <w:tcPr>
            <w:tcW w:w="3211" w:type="dxa"/>
            <w:shd w:val="clear" w:color="auto" w:fill="D9EAF7"/>
          </w:tcPr>
          <w:p w14:paraId="3E8644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Lab7 中的作用</w:t>
            </w:r>
          </w:p>
        </w:tc>
      </w:tr>
      <w:tr w14:paraId="56F1F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2130A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Lab4 增量预训练</w:t>
            </w:r>
          </w:p>
        </w:tc>
        <w:tc>
          <w:tcPr>
            <w:tcW w:w="3211" w:type="dxa"/>
          </w:tcPr>
          <w:p w14:paraId="5C520E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CPT LoRA adapter</w:t>
            </w:r>
          </w:p>
        </w:tc>
        <w:tc>
          <w:tcPr>
            <w:tcW w:w="3211" w:type="dxa"/>
          </w:tcPr>
          <w:p w14:paraId="0943C7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作为一个可选模型版本</w:t>
            </w:r>
          </w:p>
        </w:tc>
      </w:tr>
      <w:tr w14:paraId="6B81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523BE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Lab5 指令微调</w:t>
            </w:r>
          </w:p>
        </w:tc>
        <w:tc>
          <w:tcPr>
            <w:tcW w:w="3211" w:type="dxa"/>
          </w:tcPr>
          <w:p w14:paraId="54776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SFT LoRA adapter / 推理脚本</w:t>
            </w:r>
          </w:p>
        </w:tc>
        <w:tc>
          <w:tcPr>
            <w:tcW w:w="3211" w:type="dxa"/>
          </w:tcPr>
          <w:p w14:paraId="2F096F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作为主要交互问答模型</w:t>
            </w:r>
          </w:p>
        </w:tc>
      </w:tr>
      <w:tr w14:paraId="6F7DE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4F16C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Lab6 模型评测</w:t>
            </w:r>
          </w:p>
        </w:tc>
        <w:tc>
          <w:tcPr>
            <w:tcW w:w="3211" w:type="dxa"/>
          </w:tcPr>
          <w:p w14:paraId="4967D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predictions.jsonl、metrics_summary.json</w:t>
            </w:r>
          </w:p>
        </w:tc>
        <w:tc>
          <w:tcPr>
            <w:tcW w:w="3211" w:type="dxa"/>
          </w:tcPr>
          <w:p w14:paraId="3A770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用于前端可视化和错误案例浏览</w:t>
            </w:r>
          </w:p>
        </w:tc>
      </w:tr>
    </w:tbl>
    <w:p w14:paraId="14533671">
      <w:pPr>
        <w:pStyle w:val="3"/>
        <w:rPr>
          <w:rFonts w:hint="default" w:ascii="Times New Roman" w:hAnsi="Times New Roman" w:eastAsia="宋体" w:cs="Times New Roman"/>
        </w:rPr>
      </w:pPr>
    </w:p>
    <w:p w14:paraId="31D55FF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 实验实施</w:t>
      </w:r>
    </w:p>
    <w:p w14:paraId="16974AD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2.1 实验环境准备</w:t>
      </w:r>
    </w:p>
    <w:p w14:paraId="51E6C79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本实验建议继续复用前几次实验中的 smolvlm_lab 环境。课堂阶段主要运行前端和演示数据，因此即使没有 GPU，也可以完成大部分实验内容。</w:t>
      </w:r>
    </w:p>
    <w:p w14:paraId="4DA2CE8F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conda activate smolvlm_lab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# 如果尚未创建环境：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# conda create -n smolvlm_lab python=3.10 -y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# conda activate smolvlm_lab</w:t>
      </w:r>
    </w:p>
    <w:p w14:paraId="3F52EF9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安装前端与数据展示依赖。</w:t>
      </w:r>
    </w:p>
    <w:p w14:paraId="41C78B8C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pip install streamlit pandas pillow plotly tqdm -i https://pypi.tuna.tsinghua.edu.cn/simple</w:t>
      </w:r>
    </w:p>
    <w:p w14:paraId="42A709A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如果后续需要接入真实 SmolVLM 或 LoRA adapter，再安装模型推理依赖。</w:t>
      </w:r>
    </w:p>
    <w:p w14:paraId="329D8E1F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pip install "transformers==4.46.3" "accelerate&gt;=0.34,&lt;1.0" peft sentencepiece torch torchvision torchaudio -i https://pypi.tuna.tsinghua.edu.cn/simple</w:t>
      </w:r>
    </w:p>
    <w:p w14:paraId="6B1C1334">
      <w:pPr>
        <w:pStyle w:val="37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提示：</w:t>
      </w:r>
      <w:r>
        <w:rPr>
          <w:rFonts w:hint="default" w:ascii="Times New Roman" w:hAnsi="Times New Roman" w:eastAsia="宋体" w:cs="Times New Roman"/>
        </w:rPr>
        <w:t>没有训练好的模型时，保持默认 DEMO_MODE=1 即可。此时系统不会下载模型权重，能够稳定跑通前端流程。</w:t>
      </w:r>
    </w:p>
    <w:p w14:paraId="7198667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2.2 直接使用提供的数据包</w:t>
      </w:r>
    </w:p>
    <w:p w14:paraId="7925DAE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本次实验不要求同学在手册中重新构造最小演示数据。将提供 lab7_frontend_demo.zip，其中已经包含可运行的前端代码和演示数据。下载后解压，进入项目目录即可运行。</w:t>
      </w:r>
    </w:p>
    <w:p w14:paraId="0AC1A75B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unzip lab7_frontend_demo.zip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cd lab7_frontend_demo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pip install -r requirements.txt -i https://pypi.tuna.tsinghua.edu.cn/simple</w:t>
      </w:r>
    </w:p>
    <w:p w14:paraId="365925E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解压后的目录结构如下。</w:t>
      </w:r>
    </w:p>
    <w:p w14:paraId="1FF0B439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lab7_frontend_demo/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├── app.py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├── vlm_engine.py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├── requirements.txt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├── data/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│   ├── metrics_summary.json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│   ├── metrics_summary.csv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│   ├── predictions_base.jsonl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│   ├── predictions_cpt.jsonl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│   ├── predictions_sft.jsonl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│   ├── error_cases.jsonl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│   ├── model_registry.json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│   └── demo_images/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└── outputs/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├── cpt_lora/      # 后续放置同学自己的 CPT adapter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└── sft_lora/      # 后续放置同学自己的 SFT adapter</w:t>
      </w:r>
    </w:p>
    <w:p w14:paraId="1C037D6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2.3 演示数据格式说明</w:t>
      </w:r>
    </w:p>
    <w:p w14:paraId="52539A5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metrics_summary.json 用于展示不同模型版本的总体指标。演示文件中包含 Base、CPT、SFT 三个版本；正式项目中可增加更多字段。</w:t>
      </w:r>
    </w:p>
    <w:p w14:paraId="1846B428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[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{"model":"Base","accuracy":0.47,"f1":0.43,"rouge_l":0.36,"image_dependency":0.07},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{"model":"CPT", "accuracy":0.55,"f1":0.50,"rouge_l":0.41,"image_dependency":0.12},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{"model":"SFT", "accuracy":0.68,"f1":0.61,"rouge_l":0.53,"image_dependency":0.22}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]</w:t>
      </w:r>
    </w:p>
    <w:p w14:paraId="2C69C26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predictions_*.jsonl 用于浏览逐条样本的预测结果。字段应尽量沿用 Lab6 的输出格式，至少包含 id、image、question、answer、prediction、task_type 和 subdomain。</w:t>
      </w:r>
    </w:p>
    <w:p w14:paraId="10C59976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{"id":"case_001","subdomain":"chest_xray","task_type":"yes_no",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"image":"./data/demo_images/case_001.png",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"question":"图像中是否存在明显异常征象？请回答是或否。",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"answer":"否","prediction":"否","image_setting":"normal","is_correct":true}</w:t>
      </w:r>
    </w:p>
    <w:p w14:paraId="5F53DD81">
      <w:pPr>
        <w:pStyle w:val="37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提示：</w:t>
      </w:r>
      <w:r>
        <w:rPr>
          <w:rFonts w:hint="default" w:ascii="Times New Roman" w:hAnsi="Times New Roman" w:eastAsia="宋体" w:cs="Times New Roman"/>
        </w:rPr>
        <w:t>这些演示图片只是为了让前端能完整跑通，不代表真实医学影像，也不能用于医学结论判断。</w:t>
      </w:r>
    </w:p>
    <w:p w14:paraId="0F2DD2F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2.4 前端功能设计</w:t>
      </w:r>
    </w:p>
    <w:p w14:paraId="1C22A6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本实验采用 Streamlit 的多页面逻辑，通过侧边栏切换四个页面。每个页面对应一个明确功能。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2847"/>
        <w:gridCol w:w="2976"/>
      </w:tblGrid>
      <w:tr w14:paraId="1F859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</w:tcPr>
          <w:p w14:paraId="49D9A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页面</w:t>
            </w:r>
          </w:p>
        </w:tc>
        <w:tc>
          <w:tcPr>
            <w:tcW w:w="3211" w:type="dxa"/>
            <w:shd w:val="clear" w:color="auto" w:fill="D9EAF7"/>
          </w:tcPr>
          <w:p w14:paraId="3A703A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核心功能</w:t>
            </w:r>
          </w:p>
        </w:tc>
        <w:tc>
          <w:tcPr>
            <w:tcW w:w="3211" w:type="dxa"/>
            <w:shd w:val="clear" w:color="auto" w:fill="D9EAF7"/>
          </w:tcPr>
          <w:p w14:paraId="49520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对应数据或代码</w:t>
            </w:r>
          </w:p>
        </w:tc>
      </w:tr>
      <w:tr w14:paraId="201F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6888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模型指标总览</w:t>
            </w:r>
          </w:p>
        </w:tc>
        <w:tc>
          <w:tcPr>
            <w:tcW w:w="3211" w:type="dxa"/>
          </w:tcPr>
          <w:p w14:paraId="5ABBA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展示 Accuracy、F1、ROUGE-L、图像依赖性等指标</w:t>
            </w:r>
          </w:p>
        </w:tc>
        <w:tc>
          <w:tcPr>
            <w:tcW w:w="3211" w:type="dxa"/>
          </w:tcPr>
          <w:p w14:paraId="4CF8E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metrics_summary.json</w:t>
            </w:r>
          </w:p>
        </w:tc>
      </w:tr>
      <w:tr w14:paraId="732B8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4B9E16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预测样本浏览</w:t>
            </w:r>
          </w:p>
        </w:tc>
        <w:tc>
          <w:tcPr>
            <w:tcW w:w="3211" w:type="dxa"/>
          </w:tcPr>
          <w:p w14:paraId="6B4574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按模型、子领域、题型和正确性筛选样本</w:t>
            </w:r>
          </w:p>
        </w:tc>
        <w:tc>
          <w:tcPr>
            <w:tcW w:w="3211" w:type="dxa"/>
          </w:tcPr>
          <w:p w14:paraId="2CA46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predictions_*.jsonl</w:t>
            </w:r>
          </w:p>
        </w:tc>
      </w:tr>
      <w:tr w14:paraId="0A49A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3D997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交互问答</w:t>
            </w:r>
          </w:p>
        </w:tc>
        <w:tc>
          <w:tcPr>
            <w:tcW w:w="3211" w:type="dxa"/>
          </w:tcPr>
          <w:p w14:paraId="71A64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上传图像、输入问题、选择模型版本并生成回答</w:t>
            </w:r>
          </w:p>
        </w:tc>
        <w:tc>
          <w:tcPr>
            <w:tcW w:w="3211" w:type="dxa"/>
          </w:tcPr>
          <w:p w14:paraId="6069C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vlm_engine.py</w:t>
            </w:r>
          </w:p>
        </w:tc>
      </w:tr>
      <w:tr w14:paraId="5C95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387FD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替换说明</w:t>
            </w:r>
          </w:p>
        </w:tc>
        <w:tc>
          <w:tcPr>
            <w:tcW w:w="3211" w:type="dxa"/>
          </w:tcPr>
          <w:p w14:paraId="4173D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提示如何把演示数据和占位模型替换为小组结果</w:t>
            </w:r>
          </w:p>
        </w:tc>
        <w:tc>
          <w:tcPr>
            <w:tcW w:w="3211" w:type="dxa"/>
          </w:tcPr>
          <w:p w14:paraId="11E5B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README / model_registry.json</w:t>
            </w:r>
          </w:p>
        </w:tc>
      </w:tr>
    </w:tbl>
    <w:p w14:paraId="4D0C324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2.5 核心代码实现</w:t>
      </w:r>
    </w:p>
    <w:p w14:paraId="57C2BBD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前端主程序 app.py 的核心是“读取数据—渲染组件—调用推理接口”。下面给出最关键的代码片段，完整代码已包含在数据包中。</w:t>
      </w:r>
    </w:p>
    <w:p w14:paraId="2E628A22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@st.cache_data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def load_metrics() -&gt; pd.DataFrame: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path = DATA_DIR / "metrics_summary.json"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return pd.DataFrame(json.loads(path.read_text(encoding="utf-8")))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@st.cache_data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def load_predictions(model_key: str) -&gt; pd.DataFrame: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path = DATA_DIR / f"predictions_{model_key.lower()}.jsonl"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rows = []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with path.open("r", encoding="utf-8") as f: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    for line in f: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        if line.strip():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            rows.append(json.loads(line))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return pd.DataFrame(rows)</w:t>
      </w:r>
    </w:p>
    <w:p w14:paraId="0096C84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指标页面使用 dataframe 和 plotly 图表展示不同模型版本的差异。</w:t>
      </w:r>
    </w:p>
    <w:p w14:paraId="05DC7EA3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metrics = load_metrics()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st.dataframe(metrics, use_container_width=True)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metric_name = st.selectbox("选择指标", ["accuracy", "f1", "rouge_l", "image_dependency"])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fig = px.bar(metrics, x="model", y=metric_name, text=metric_name)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st.plotly_chart(fig, use_container_width=True)</w:t>
      </w:r>
    </w:p>
    <w:p w14:paraId="75C9378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交互问答页面不直接写 transformers 代码，而是调用 vlm_engine.py 中统一封装的 generate_answer()。这样做的好处是：前端页面不用关心模型来自 Base、CPT 还是 SFT，也不用关心是否加载 LoRA adapter。</w:t>
      </w:r>
    </w:p>
    <w:p w14:paraId="52F82C16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bundle = get_model(model_name)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answer = generate_answer(bundle, image, question)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st.write(answer)</w:t>
      </w:r>
    </w:p>
    <w:p w14:paraId="55DEBFC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vlm_engine.py 默认处于演示模式。没有模型时，mock_answer() 会返回占位回答；有模型时，同学们将 DEMO_MODE 设为 0，并补全真实模型路径。</w:t>
      </w:r>
    </w:p>
    <w:p w14:paraId="5E69FDC2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DEMO_MODE = os.environ.get("DEMO_MODE", "1") == "1"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def generate_answer(bundle, image, question, max_new_tokens=128):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if DEMO_MODE or bundle.model is None: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    return mock_answer(bundle.name, image, question)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 xml:space="preserve">    return generate_with_real_model(bundle, image, question, max_new_tokens=max_new_tokens)</w:t>
      </w:r>
    </w:p>
    <w:p w14:paraId="275FDFC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2.6 运行前端系统</w:t>
      </w:r>
    </w:p>
    <w:p w14:paraId="4642C1C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进入项目目录后，直接运行以下命令。</w:t>
      </w:r>
    </w:p>
    <w:p w14:paraId="583D4CEF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streamlit run app.py</w:t>
      </w:r>
    </w:p>
    <w:p w14:paraId="576ED86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浏览器将自动打开本地页面。若没有自动打开，可复制终端中的 Local URL 到浏览器。默认地址通常为：</w:t>
      </w:r>
    </w:p>
    <w:p w14:paraId="47FEAF54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http://localhost:8501</w:t>
      </w:r>
    </w:p>
    <w:p w14:paraId="4388C78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课堂阶段的预期结果如下。</w:t>
      </w:r>
    </w:p>
    <w:p w14:paraId="5CF68272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模型指标总览页能显示 Base、CPT、SFT 三个模型版本的指标表和柱状图。</w:t>
      </w:r>
    </w:p>
    <w:p w14:paraId="7FF9AACE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预测样本浏览页能按照子领域、题型和错误样本筛选 predictions 文件。</w:t>
      </w:r>
    </w:p>
    <w:p w14:paraId="1DCE3E36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单样本详情页能显示图片、问题、标准答案和模型预测。</w:t>
      </w:r>
    </w:p>
    <w:p w14:paraId="10949D92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交互问答页能上传图片并返回“演示模式”的占位回答。</w:t>
      </w:r>
    </w:p>
    <w:p w14:paraId="15A7219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2.7 替换为同学自己的数据和模型</w:t>
      </w:r>
    </w:p>
    <w:p w14:paraId="4789277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同学完成课堂演示后，应将演示数据替换为本组真实结果。替换顺序建议如下。</w:t>
      </w:r>
    </w:p>
    <w:p w14:paraId="221A9004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先替换 data/metrics_summary.json，确认指标页面仍能正常显示。</w:t>
      </w:r>
    </w:p>
    <w:p w14:paraId="6B96A7B2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再替换 predictions_base.jsonl、predictions_cpt.jsonl、predictions_sft.jsonl，确认样本浏览页不报错。</w:t>
      </w:r>
    </w:p>
    <w:p w14:paraId="188269E4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保证 image 字段指向真实存在的本地图片路径。</w:t>
      </w:r>
    </w:p>
    <w:p w14:paraId="4A01D533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将 LoRA adapter 放入 outputs/cpt_lora 或 outputs/sft_lora。</w:t>
      </w:r>
    </w:p>
    <w:p w14:paraId="16561100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修改 vlm_engine.py 中 registry 的 base model 和 adapter 路径。</w:t>
      </w:r>
    </w:p>
    <w:p w14:paraId="2BD1FBA1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确认能加载真实模型后，在终端中设置 DEMO_MODE=0 再运行。</w:t>
      </w:r>
    </w:p>
    <w:p w14:paraId="3660B7C9">
      <w:pPr>
        <w:pStyle w:val="37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5"/>
        </w:rPr>
        <w:t># Windows PowerShell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$env:DEMO_MODE="0"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streamlit run app.py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# macOS / Linux</w:t>
      </w:r>
      <w:r>
        <w:rPr>
          <w:rFonts w:hint="default" w:ascii="Times New Roman" w:hAnsi="Times New Roman" w:eastAsia="宋体" w:cs="Times New Roman"/>
          <w:sz w:val="15"/>
        </w:rPr>
        <w:br w:type="textWrapping"/>
      </w:r>
      <w:r>
        <w:rPr>
          <w:rFonts w:hint="default" w:ascii="Times New Roman" w:hAnsi="Times New Roman" w:eastAsia="宋体" w:cs="Times New Roman"/>
          <w:sz w:val="15"/>
        </w:rPr>
        <w:t>DEMO_MODE=0 streamlit run app.py</w:t>
      </w:r>
    </w:p>
    <w:p w14:paraId="5B5E516E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2.8 常见排错指南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3"/>
        <w:gridCol w:w="2704"/>
        <w:gridCol w:w="2879"/>
      </w:tblGrid>
      <w:tr w14:paraId="13E6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</w:tcPr>
          <w:p w14:paraId="2BB455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问题</w:t>
            </w:r>
          </w:p>
        </w:tc>
        <w:tc>
          <w:tcPr>
            <w:tcW w:w="3211" w:type="dxa"/>
            <w:shd w:val="clear" w:color="auto" w:fill="D9EAF7"/>
          </w:tcPr>
          <w:p w14:paraId="64CA5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可能原因</w:t>
            </w:r>
          </w:p>
        </w:tc>
        <w:tc>
          <w:tcPr>
            <w:tcW w:w="3211" w:type="dxa"/>
            <w:shd w:val="clear" w:color="auto" w:fill="D9EAF7"/>
          </w:tcPr>
          <w:p w14:paraId="6C7B7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解决方法</w:t>
            </w:r>
          </w:p>
        </w:tc>
      </w:tr>
      <w:tr w14:paraId="29E10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692C3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ModuleNotFoundError: streamlit</w:t>
            </w:r>
          </w:p>
        </w:tc>
        <w:tc>
          <w:tcPr>
            <w:tcW w:w="3211" w:type="dxa"/>
          </w:tcPr>
          <w:p w14:paraId="05E16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未安装前端依赖</w:t>
            </w:r>
          </w:p>
        </w:tc>
        <w:tc>
          <w:tcPr>
            <w:tcW w:w="3211" w:type="dxa"/>
          </w:tcPr>
          <w:p w14:paraId="7E8FD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执行 pip install -r requirements.txt</w:t>
            </w:r>
          </w:p>
        </w:tc>
      </w:tr>
      <w:tr w14:paraId="2380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16C1C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页面打开但没有数据</w:t>
            </w:r>
          </w:p>
        </w:tc>
        <w:tc>
          <w:tcPr>
            <w:tcW w:w="3211" w:type="dxa"/>
          </w:tcPr>
          <w:p w14:paraId="77F0F4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运行目录不对或 data 文件夹缺失</w:t>
            </w:r>
          </w:p>
        </w:tc>
        <w:tc>
          <w:tcPr>
            <w:tcW w:w="3211" w:type="dxa"/>
          </w:tcPr>
          <w:p w14:paraId="177528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确认在 lab7_frontend_demo 目录下运行</w:t>
            </w:r>
          </w:p>
        </w:tc>
      </w:tr>
      <w:tr w14:paraId="19E17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7B6ED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图片显示失败</w:t>
            </w:r>
          </w:p>
        </w:tc>
        <w:tc>
          <w:tcPr>
            <w:tcW w:w="3211" w:type="dxa"/>
          </w:tcPr>
          <w:p w14:paraId="7E39D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predictions 中 image 路径错误</w:t>
            </w:r>
          </w:p>
        </w:tc>
        <w:tc>
          <w:tcPr>
            <w:tcW w:w="3211" w:type="dxa"/>
          </w:tcPr>
          <w:p w14:paraId="111F3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检查 image 字段是否与本地路径一致</w:t>
            </w:r>
          </w:p>
        </w:tc>
      </w:tr>
      <w:tr w14:paraId="7EFD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2ED72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真实模型加载很慢</w:t>
            </w:r>
          </w:p>
        </w:tc>
        <w:tc>
          <w:tcPr>
            <w:tcW w:w="3211" w:type="dxa"/>
          </w:tcPr>
          <w:p w14:paraId="350A05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首次下载权重或显存不足</w:t>
            </w:r>
          </w:p>
        </w:tc>
        <w:tc>
          <w:tcPr>
            <w:tcW w:w="3211" w:type="dxa"/>
          </w:tcPr>
          <w:p w14:paraId="31D8BA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先用 DEMO_MODE=1 验证前端，再切换真实模型</w:t>
            </w:r>
          </w:p>
        </w:tc>
      </w:tr>
      <w:tr w14:paraId="2B702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795F61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LoRA adapter 加载失败</w:t>
            </w:r>
          </w:p>
        </w:tc>
        <w:tc>
          <w:tcPr>
            <w:tcW w:w="3211" w:type="dxa"/>
          </w:tcPr>
          <w:p w14:paraId="55F0A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adapter 路径或 base model 不匹配</w:t>
            </w:r>
          </w:p>
        </w:tc>
        <w:tc>
          <w:tcPr>
            <w:tcW w:w="3211" w:type="dxa"/>
          </w:tcPr>
          <w:p w14:paraId="63384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确认 adapter_config.json 存在，并与训练时 base model 一致</w:t>
            </w:r>
          </w:p>
        </w:tc>
      </w:tr>
    </w:tbl>
    <w:p w14:paraId="45AE3993">
      <w:pPr>
        <w:pStyle w:val="3"/>
        <w:rPr>
          <w:rFonts w:hint="eastAsia" w:ascii="Times New Roman" w:hAnsi="Times New Roman" w:eastAsia="宋体"/>
          <w:lang w:val="en-US" w:eastAsia="zh-CN"/>
        </w:rPr>
      </w:pPr>
    </w:p>
    <w:p w14:paraId="3C3FE9C5"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3 </w:t>
      </w:r>
      <w:r>
        <w:rPr>
          <w:rFonts w:ascii="Times New Roman" w:hAnsi="Times New Roman" w:eastAsia="宋体"/>
        </w:rPr>
        <w:t>前端界面美化实践</w:t>
      </w:r>
    </w:p>
    <w:p w14:paraId="3371DC1E">
      <w:r>
        <w:rPr>
          <w:rFonts w:ascii="Times New Roman" w:hAnsi="Times New Roman" w:eastAsia="宋体"/>
        </w:rPr>
        <w:t>本节用于说明如何在不改变核心模型逻辑的前提下，把原始 app.py 改造成更适合课堂展示的 app_after.py。前端美化的目标不是“堆装饰”，而是让模型结果、样本浏览和交互问答更清晰、更稳定、更便于演示。</w:t>
      </w:r>
    </w:p>
    <w:p w14:paraId="46304AD1">
      <w:pPr>
        <w:pStyle w:val="5"/>
      </w:pP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ascii="Times New Roman" w:hAnsi="Times New Roman" w:eastAsia="宋体"/>
        </w:rPr>
        <w:t>.1 美化原则</w:t>
      </w:r>
    </w:p>
    <w:p w14:paraId="0D883279">
      <w:pPr>
        <w:pStyle w:val="25"/>
      </w:pPr>
      <w:r>
        <w:rPr>
          <w:rFonts w:ascii="Times New Roman" w:hAnsi="Times New Roman" w:eastAsia="宋体"/>
        </w:rPr>
        <w:t>先保证原始 app.py 可以运行，再复制一份命名为 app_after.py 进行美化，不要直接覆盖原文件。</w:t>
      </w:r>
    </w:p>
    <w:p w14:paraId="7D533475">
      <w:pPr>
        <w:pStyle w:val="25"/>
      </w:pPr>
      <w:r>
        <w:rPr>
          <w:rFonts w:ascii="Times New Roman" w:hAnsi="Times New Roman" w:eastAsia="宋体"/>
        </w:rPr>
        <w:t>优先美化页面结构、颜色、指标卡片、筛选器、图表、样本详情和问答结果展示，不建议在课堂实验中大改模型推理逻辑。</w:t>
      </w:r>
    </w:p>
    <w:p w14:paraId="25417F4E">
      <w:pPr>
        <w:pStyle w:val="25"/>
      </w:pPr>
      <w:r>
        <w:rPr>
          <w:rFonts w:ascii="Times New Roman" w:hAnsi="Times New Roman" w:eastAsia="宋体"/>
        </w:rPr>
        <w:t>所有美化都应服务于展示：让老师和同学快速看懂模型版本、评测结果、样本预测和问答输出。</w:t>
      </w:r>
    </w:p>
    <w:p w14:paraId="04D24867">
      <w:pPr>
        <w:pStyle w:val="25"/>
      </w:pPr>
      <w:r>
        <w:rPr>
          <w:rFonts w:ascii="Times New Roman" w:hAnsi="Times New Roman" w:eastAsia="宋体"/>
        </w:rPr>
        <w:t>美化后必须仍然支持替换 data/metrics_summary.json、predictions_*.jsonl 和 outputs/ 中的模型 adapter。</w:t>
      </w:r>
    </w:p>
    <w:p w14:paraId="69F91AED">
      <w:pPr>
        <w:pStyle w:val="5"/>
      </w:pP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ascii="Times New Roman" w:hAnsi="Times New Roman" w:eastAsia="宋体"/>
        </w:rPr>
        <w:t>.2 对照运行原版与美化版</w:t>
      </w:r>
    </w:p>
    <w:p w14:paraId="5D6D9482">
      <w:r>
        <w:rPr>
          <w:rFonts w:ascii="Times New Roman" w:hAnsi="Times New Roman" w:eastAsia="宋体"/>
        </w:rPr>
        <w:t>建议同学保留原版 app.py，并把美化后的代码保存为 app_after.py。为了方便对比，可以分别用两个端口运行。</w:t>
      </w:r>
    </w:p>
    <w:p w14:paraId="346AEEC8">
      <w:pPr>
        <w:pStyle w:val="375"/>
        <w:shd w:val="clear" w:fill="F2F2F2"/>
      </w:pPr>
      <w:r>
        <w:rPr>
          <w:rFonts w:ascii="Consolas" w:hAnsi="Consolas" w:eastAsia="宋体"/>
          <w:sz w:val="15"/>
        </w:rPr>
        <w:t># 运行原始版本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streamlit run app.py --server.port 8501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另开一个终端，运行美化版本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streamlit run app_after.py --server.port 8502</w:t>
      </w:r>
    </w:p>
    <w:p w14:paraId="01510DE7">
      <w:r>
        <w:rPr>
          <w:rFonts w:ascii="Times New Roman" w:hAnsi="Times New Roman" w:eastAsia="宋体"/>
        </w:rPr>
        <w:t>运行后，浏览器分别打开 http://localhost:8501 和 http://localhost:8502，对比原版和美化版页面。实验报告中建议提交 1 张原版截图和 2 至 3 张美化后截图。</w:t>
      </w:r>
    </w:p>
    <w:p w14:paraId="67338BD2">
      <w:pPr>
        <w:pStyle w:val="5"/>
      </w:pP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ascii="Times New Roman" w:hAnsi="Times New Roman" w:eastAsia="宋体"/>
        </w:rPr>
        <w:t>.3 全局页面样式：标题、配色与卡片化</w:t>
      </w:r>
    </w:p>
    <w:p w14:paraId="684CB749">
      <w:r>
        <w:rPr>
          <w:rFonts w:ascii="Times New Roman" w:hAnsi="Times New Roman" w:eastAsia="宋体"/>
        </w:rPr>
        <w:t>原版页面直接使用 st.title 和 st.header，信息结构清楚，但视觉层次较弱。美化时可以增加统一 CSS，使页面具备一致的背景、标题区和卡片样式。以下代码可放在 app_after.py 的 st.set_page_config() 后面。</w:t>
      </w:r>
    </w:p>
    <w:p w14:paraId="457818A3">
      <w:pPr>
        <w:pStyle w:val="375"/>
        <w:shd w:val="clear" w:fill="F2F2F2"/>
      </w:pPr>
      <w:r>
        <w:rPr>
          <w:rFonts w:ascii="Consolas" w:hAnsi="Consolas" w:eastAsia="宋体"/>
          <w:sz w:val="15"/>
        </w:rPr>
        <w:t>st.markdown("""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&lt;style&gt;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/* 页面整体背景，可根据小组主题替换为更合适的浅色背景 */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.stApp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background: linear-gradient(180deg, #f7f9fc 0%, #ffffff 100%);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/* 顶部横幅，用于突出系统名称和小组主题 */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.hero-card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padding: 1.2rem 1.5rem;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border-radius: 18px;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background: linear-gradient(135deg, #eef4ff 0%, #f8fbff 100%);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border: 1px solid #d9e6ff;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box-shadow: 0 6px 18px rgba(30, 64, 175, 0.08);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margin-bottom: 1rem;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.hero-title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font-size: 1.8rem;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font-weight: 700;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color: #1f3b73;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margin-bottom: 0.3rem;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.hero-subtitle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font-size: 0.95rem;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color: #5b6475;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/* 通用内容卡片，用于包装指标、样本详情和模型回答 */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.info-card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padding: 1rem;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border-radius: 16px;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background: #ffffff;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border: 1px solid #e6eaf2;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box-shadow: 0 4px 14px rgba(15, 23, 42, 0.05);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margin-bottom: 0.8rem;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&lt;/style&gt;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""", unsafe_allow_html=True)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st.markdown("""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&lt;div class="hero-card"&gt;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&lt;div class="hero-title"&gt;医学多模态模型前端展示系统&lt;/div&gt;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&lt;div class="hero-subtitle"&gt;展示本组模型评测结果、预测样本与交互式图像问答能力&lt;/div&gt;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""", unsafe_allow_html=True)</w:t>
      </w:r>
    </w:p>
    <w:p w14:paraId="360E498C">
      <w:r>
        <w:rPr>
          <w:rFonts w:ascii="Times New Roman" w:hAnsi="Times New Roman" w:eastAsia="宋体"/>
        </w:rPr>
        <w:t>可调整点：背景颜色、横幅标题、小组名称、医学子领域名称、卡片圆角、阴影强度。要求保持页面整洁，不建议使用过多高饱和颜色。</w:t>
      </w:r>
    </w:p>
    <w:p w14:paraId="6133D449">
      <w:pPr>
        <w:pStyle w:val="5"/>
      </w:pPr>
      <w:r>
        <w:rPr>
          <w:rFonts w:hint="eastAsia" w:ascii="Times New Roman" w:hAnsi="Times New Roman" w:eastAsia="宋体"/>
          <w:lang w:val="en-US" w:eastAsia="zh-CN"/>
        </w:rPr>
        <w:t>3.</w:t>
      </w:r>
      <w:r>
        <w:rPr>
          <w:rFonts w:ascii="Times New Roman" w:hAnsi="Times New Roman" w:eastAsia="宋体"/>
        </w:rPr>
        <w:t>4 指标总览页美化</w:t>
      </w:r>
    </w:p>
    <w:p w14:paraId="4C8BAFA9">
      <w:r>
        <w:rPr>
          <w:rFonts w:ascii="Times New Roman" w:hAnsi="Times New Roman" w:eastAsia="宋体"/>
        </w:rPr>
        <w:t>原版 render_overview() 已经能显示 dataframe 和柱状图。美化时应重点突出最佳模型、最高 Accuracy、最高 F1、样本数量等关键信息。</w:t>
      </w:r>
    </w:p>
    <w:p w14:paraId="42FDDB35">
      <w:pPr>
        <w:pStyle w:val="375"/>
        <w:shd w:val="clear" w:fill="F2F2F2"/>
      </w:pPr>
      <w:r>
        <w:rPr>
          <w:rFonts w:ascii="Consolas" w:hAnsi="Consolas" w:eastAsia="宋体"/>
          <w:sz w:val="15"/>
        </w:rPr>
        <w:t>def metric_card(label, value, help_text=""):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st.markdown(f"""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&lt;div class="info-card"&gt;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&lt;div style="font-size:0.85rem;color:#64748b;"&gt;{label}&lt;/div&gt;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&lt;div style="font-size:1.6rem;font-weight:700;color:#1f3b73;"&gt;{value}&lt;/div&gt;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&lt;div style="font-size:0.8rem;color:#94a3b8;"&gt;{help_text}&lt;/div&gt;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""", unsafe_allow_html=True)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metrics = load_metrics()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best = metrics.sort_values("accuracy", ascending=False).iloc[0]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c1, c2, c3 = st.columns(3)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with c1: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metric_card("最佳模型", best["model"], "按 Accuracy 排序")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with c2: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metric_card("最高 Accuracy", f"{best['accuracy']:.2f}", "越高越好")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with c3: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metric_card("最高 F1", f"{best['f1']:.2f}", "综合 Precision 与 Recall")</w:t>
      </w:r>
    </w:p>
    <w:p w14:paraId="2E8671C8">
      <w:r>
        <w:rPr>
          <w:rFonts w:ascii="Times New Roman" w:hAnsi="Times New Roman" w:eastAsia="宋体"/>
        </w:rPr>
        <w:t>图表也可以进行轻量美化，例如使用统一模板、在图上显示数值、调整标题和坐标轴名称。</w:t>
      </w:r>
    </w:p>
    <w:p w14:paraId="74215339">
      <w:pPr>
        <w:pStyle w:val="375"/>
        <w:shd w:val="clear" w:fill="F2F2F2"/>
      </w:pPr>
      <w:r>
        <w:rPr>
          <w:rFonts w:ascii="Consolas" w:hAnsi="Consolas" w:eastAsia="宋体"/>
          <w:sz w:val="15"/>
        </w:rPr>
        <w:t>fig = px.bar(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metrics,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x="model",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y=metric_name,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text=metric_name,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title=f"不同模型版本的 {metric_name} 对比",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template="plotly_white"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fig.update_traces(texttemplate="%{text:.2f}", textposition="outside")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fig.update_layout(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height=420,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margin=dict(l=20, r=20, t=60, b=20),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xaxis_title="模型版本",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yaxis_title="指标得分"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st.plotly_chart(fig, use_container_width=True)</w:t>
      </w:r>
    </w:p>
    <w:p w14:paraId="40456EAC">
      <w:pPr>
        <w:pStyle w:val="5"/>
      </w:pP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ascii="Times New Roman" w:hAnsi="Times New Roman" w:eastAsia="宋体"/>
        </w:rPr>
        <w:t>.5 样本浏览页美化</w:t>
      </w:r>
    </w:p>
    <w:p w14:paraId="28B30504">
      <w:r>
        <w:rPr>
          <w:rFonts w:ascii="Times New Roman" w:hAnsi="Times New Roman" w:eastAsia="宋体"/>
        </w:rPr>
        <w:t>原版 render_cases() 能完成筛选和表格展示，但页面略偏“数据表”。美化时可以把筛选器放在左侧卡片中，把单条样本展示为图像 + 问题 + 答案 + 预测 + 正误标签的形式。</w:t>
      </w:r>
    </w:p>
    <w:p w14:paraId="0BE759D6">
      <w:pPr>
        <w:pStyle w:val="375"/>
        <w:shd w:val="clear" w:fill="F2F2F2"/>
      </w:pPr>
      <w:r>
        <w:rPr>
          <w:rFonts w:ascii="Consolas" w:hAnsi="Consolas" w:eastAsia="宋体"/>
          <w:sz w:val="15"/>
        </w:rPr>
        <w:t># 正误标签：用于替代简单的 True / False 文本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is_correct = row.get("is_correct", "未知")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is_correct is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badge = "&lt;span style='color:#166534;background:#dcfce7;padding:4px 10px;border-radius:999px;'&gt;预测正确&lt;/span&gt;"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elif is_correct is False: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badge = "&lt;span style='color:#991b1b;background:#fee2e2;padding:4px 10px;border-radius:999px;'&gt;预测错误&lt;/span&gt;"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badge = "&lt;span style='color:#475569;background:#e2e8f0;padding:4px 10px;border-radius:999px;'&gt;未知&lt;/span&gt;"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st.markdown(f"""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&lt;div class="info-card"&gt;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&lt;b&gt;问题：&lt;/b&gt;{row['question']}&lt;br&gt;&lt;br&gt;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&lt;b&gt;标准答案：&lt;/b&gt;{row['answer']}&lt;br&gt;&lt;br&gt;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&lt;b&gt;模型预测：&lt;/b&gt;{row['prediction']}&lt;br&gt;&lt;br&gt;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&lt;b&gt;结果：&lt;/b&gt;{badge}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""", unsafe_allow_html=True)</w:t>
      </w:r>
    </w:p>
    <w:p w14:paraId="134B7E47">
      <w:r>
        <w:rPr>
          <w:rFonts w:ascii="Times New Roman" w:hAnsi="Times New Roman" w:eastAsia="宋体"/>
        </w:rPr>
        <w:t>可调整点：把错误样本高亮显示；增加“只看错误样本”按钮；增加题型、子领域、模型版本筛选；用 st.expander 展示较长答案，避免页面过长。</w:t>
      </w:r>
    </w:p>
    <w:p w14:paraId="1BC1F0C8">
      <w:pPr>
        <w:pStyle w:val="5"/>
      </w:pP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ascii="Times New Roman" w:hAnsi="Times New Roman" w:eastAsia="宋体"/>
        </w:rPr>
        <w:t>.6 交互问答页美化</w:t>
      </w:r>
    </w:p>
    <w:p w14:paraId="0EC69FF3">
      <w:r>
        <w:rPr>
          <w:rFonts w:ascii="Times New Roman" w:hAnsi="Times New Roman" w:eastAsia="宋体"/>
        </w:rPr>
        <w:t>交互问答页是课堂展示最直观的部分。美化时应让用户明确知道当前选择的模型、上传的图像、输入的问题和模型回答。可以增加示例问题、提示信息、回答卡片和必要的医学安全提示。</w:t>
      </w:r>
    </w:p>
    <w:p w14:paraId="28916548">
      <w:pPr>
        <w:pStyle w:val="375"/>
        <w:shd w:val="clear" w:fill="F2F2F2"/>
      </w:pPr>
      <w:r>
        <w:rPr>
          <w:rFonts w:ascii="Consolas" w:hAnsi="Consolas" w:eastAsia="宋体"/>
          <w:sz w:val="15"/>
        </w:rPr>
        <w:t>example_questions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"请描述这张图像中的主要可见特征。",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"图像中是否存在明显异常？请简要回答。",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"请给出模型判断依据，但不要给出诊断结论。"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question = st.selectbox("选择一个示例问题，或在下方自行修改", example_questions)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question = st.text_area("输入问题", value=question, height=100)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st.button("生成回答", type="primary", use_container_width=True):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with st.spinner("模型处理中，请稍候..."):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bundle = get_model(model_name)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answer = generate_answer(bundle, image, question)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st.markdown(f"""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&lt;div class="info-card"&gt;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&lt;div style="font-weight:700;color:#1f3b73;margin-bottom:0.5rem;"&gt;模型回答&lt;/div&gt;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&lt;div style="line-height:1.7;"&gt;{answer}&lt;/div&gt;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&lt;/div&gt;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""", unsafe_allow_html=True)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st.warning("本系统仅用于课程实验展示，不作为医学诊断依据。")</w:t>
      </w:r>
    </w:p>
    <w:p w14:paraId="69E3C849">
      <w:r>
        <w:rPr>
          <w:rFonts w:ascii="Times New Roman" w:hAnsi="Times New Roman" w:eastAsia="宋体"/>
        </w:rPr>
        <w:t>可调整点：按钮宽度、示例问题、回答卡片、模型状态提示、是否显示“演示模式/真实模型模式”。有模型的小组应在页面上标注当前接入的模型版本。</w:t>
      </w:r>
    </w:p>
    <w:p w14:paraId="39D1A508">
      <w:pPr>
        <w:pStyle w:val="3"/>
        <w:rPr>
          <w:rFonts w:hint="default" w:ascii="Times New Roman" w:hAnsi="Times New Roman" w:eastAsia="宋体" w:cs="Times New Roman"/>
          <w:lang w:val="en-US" w:eastAsia="zh-CN"/>
        </w:rPr>
      </w:pPr>
    </w:p>
    <w:p w14:paraId="36F6998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</w:rPr>
        <w:t xml:space="preserve"> 实验小结</w:t>
      </w:r>
    </w:p>
    <w:p w14:paraId="0CED31C4">
      <w:pPr>
        <w:pStyle w:val="355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本实验完成了从模型实验产物到前端展示系统的过渡。通过 Streamlit，同学们可以在较低工程成本下实现模型指标可视化、样本级预测浏览和交互式图像问答。需要注意的是，前端本身并不提高模型能力，它只是把模型和评测结果以更清晰、更可操作的形式呈现出来。真正的系统质量仍取决于前序实验中的数据质量、训练质量和评测可信度。</w:t>
      </w:r>
    </w:p>
    <w:sectPr>
      <w:headerReference r:id="rId5" w:type="default"/>
      <w:pgSz w:w="11906" w:h="16838"/>
      <w:pgMar w:top="1440" w:right="1803" w:bottom="1440" w:left="1803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Segoe Print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2BC1A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162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57D7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129A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A8C"/>
    <w:rsid w:val="001C6ED1"/>
    <w:rsid w:val="001C7FA6"/>
    <w:rsid w:val="001D001D"/>
    <w:rsid w:val="001D0149"/>
    <w:rsid w:val="001D0278"/>
    <w:rsid w:val="001D18DC"/>
    <w:rsid w:val="001D1B50"/>
    <w:rsid w:val="001D3E2F"/>
    <w:rsid w:val="001D5BE5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50C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A9"/>
    <w:rsid w:val="002A19E4"/>
    <w:rsid w:val="002A1B3F"/>
    <w:rsid w:val="002A21B1"/>
    <w:rsid w:val="002A2995"/>
    <w:rsid w:val="002A2E79"/>
    <w:rsid w:val="002A2F52"/>
    <w:rsid w:val="002A2F8F"/>
    <w:rsid w:val="002A33AF"/>
    <w:rsid w:val="002A39A2"/>
    <w:rsid w:val="002A3B1A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5B86"/>
    <w:rsid w:val="003267BB"/>
    <w:rsid w:val="00327963"/>
    <w:rsid w:val="00327A89"/>
    <w:rsid w:val="00333712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C674F"/>
    <w:rsid w:val="003D1744"/>
    <w:rsid w:val="003D238F"/>
    <w:rsid w:val="003D2573"/>
    <w:rsid w:val="003D2786"/>
    <w:rsid w:val="003D2E27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3A47"/>
    <w:rsid w:val="003F3D2A"/>
    <w:rsid w:val="003F4170"/>
    <w:rsid w:val="003F43CE"/>
    <w:rsid w:val="003F4FCF"/>
    <w:rsid w:val="003F5AD4"/>
    <w:rsid w:val="003F7555"/>
    <w:rsid w:val="003F7699"/>
    <w:rsid w:val="0040044B"/>
    <w:rsid w:val="00400F61"/>
    <w:rsid w:val="00403032"/>
    <w:rsid w:val="0040332D"/>
    <w:rsid w:val="004040EF"/>
    <w:rsid w:val="004047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0D20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7C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0CE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09D"/>
    <w:rsid w:val="005214A7"/>
    <w:rsid w:val="0052210E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2A8B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627A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E84"/>
    <w:rsid w:val="00705017"/>
    <w:rsid w:val="00705C93"/>
    <w:rsid w:val="007062E4"/>
    <w:rsid w:val="0070636C"/>
    <w:rsid w:val="00707F57"/>
    <w:rsid w:val="007117AB"/>
    <w:rsid w:val="00711AA7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6A08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EF1"/>
    <w:rsid w:val="007946B0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171F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5C6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37A"/>
    <w:rsid w:val="00817623"/>
    <w:rsid w:val="008178E2"/>
    <w:rsid w:val="0082028F"/>
    <w:rsid w:val="008204BC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27993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1E91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F52"/>
    <w:rsid w:val="0091158A"/>
    <w:rsid w:val="00912A6C"/>
    <w:rsid w:val="00913E0D"/>
    <w:rsid w:val="00914937"/>
    <w:rsid w:val="00915AAF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6920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408F"/>
    <w:rsid w:val="009761C5"/>
    <w:rsid w:val="0097664E"/>
    <w:rsid w:val="00977DD6"/>
    <w:rsid w:val="00977EC7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8FA"/>
    <w:rsid w:val="009A1EA8"/>
    <w:rsid w:val="009A2185"/>
    <w:rsid w:val="009A2AFB"/>
    <w:rsid w:val="009A3923"/>
    <w:rsid w:val="009A44CE"/>
    <w:rsid w:val="009A549F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3797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11C6"/>
    <w:rsid w:val="00A42333"/>
    <w:rsid w:val="00A42AE0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697E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0BFD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2CBC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099"/>
    <w:rsid w:val="00BB5ACE"/>
    <w:rsid w:val="00BB7A7C"/>
    <w:rsid w:val="00BB7C47"/>
    <w:rsid w:val="00BC0B94"/>
    <w:rsid w:val="00BC128B"/>
    <w:rsid w:val="00BC19DC"/>
    <w:rsid w:val="00BC29A6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1CC9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176"/>
    <w:rsid w:val="00C97B22"/>
    <w:rsid w:val="00CA237D"/>
    <w:rsid w:val="00CA29F8"/>
    <w:rsid w:val="00CA303F"/>
    <w:rsid w:val="00CA332F"/>
    <w:rsid w:val="00CA42A5"/>
    <w:rsid w:val="00CA563B"/>
    <w:rsid w:val="00CA5672"/>
    <w:rsid w:val="00CA59DE"/>
    <w:rsid w:val="00CA5B38"/>
    <w:rsid w:val="00CA5CA8"/>
    <w:rsid w:val="00CA6262"/>
    <w:rsid w:val="00CA64E4"/>
    <w:rsid w:val="00CA70BB"/>
    <w:rsid w:val="00CB00A4"/>
    <w:rsid w:val="00CB043F"/>
    <w:rsid w:val="00CB0BE5"/>
    <w:rsid w:val="00CB12B5"/>
    <w:rsid w:val="00CB18FB"/>
    <w:rsid w:val="00CB23E3"/>
    <w:rsid w:val="00CB32ED"/>
    <w:rsid w:val="00CB472C"/>
    <w:rsid w:val="00CB4B18"/>
    <w:rsid w:val="00CB5920"/>
    <w:rsid w:val="00CB5BF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D93"/>
    <w:rsid w:val="00D01EA7"/>
    <w:rsid w:val="00D02D23"/>
    <w:rsid w:val="00D03557"/>
    <w:rsid w:val="00D04071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17C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E5F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6FDB"/>
    <w:rsid w:val="00EE73CE"/>
    <w:rsid w:val="00EE7A19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2EFA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6CE4"/>
    <w:rsid w:val="00FA7295"/>
    <w:rsid w:val="00FB1432"/>
    <w:rsid w:val="00FB1848"/>
    <w:rsid w:val="00FB1B31"/>
    <w:rsid w:val="00FB3A49"/>
    <w:rsid w:val="00FB4062"/>
    <w:rsid w:val="00FB494A"/>
    <w:rsid w:val="00FB5073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26E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15754F6"/>
    <w:rsid w:val="0627463A"/>
    <w:rsid w:val="081D2FF5"/>
    <w:rsid w:val="090B5543"/>
    <w:rsid w:val="09916FFA"/>
    <w:rsid w:val="0C8D626F"/>
    <w:rsid w:val="0D775F54"/>
    <w:rsid w:val="0E6DF6C1"/>
    <w:rsid w:val="10F36FE9"/>
    <w:rsid w:val="13B90504"/>
    <w:rsid w:val="13FD88F7"/>
    <w:rsid w:val="15F47B5E"/>
    <w:rsid w:val="17BD5C5B"/>
    <w:rsid w:val="18BE1923"/>
    <w:rsid w:val="1B063DBD"/>
    <w:rsid w:val="1BFB795A"/>
    <w:rsid w:val="1C93342E"/>
    <w:rsid w:val="23533917"/>
    <w:rsid w:val="242258D5"/>
    <w:rsid w:val="278000C4"/>
    <w:rsid w:val="2A9E13F0"/>
    <w:rsid w:val="2E976DAE"/>
    <w:rsid w:val="2FBCA7D3"/>
    <w:rsid w:val="321D78C4"/>
    <w:rsid w:val="33B26FA6"/>
    <w:rsid w:val="35284C04"/>
    <w:rsid w:val="373F9E5A"/>
    <w:rsid w:val="386C36F7"/>
    <w:rsid w:val="39DA2245"/>
    <w:rsid w:val="3BC11E07"/>
    <w:rsid w:val="3C3F211A"/>
    <w:rsid w:val="3FDFF0AA"/>
    <w:rsid w:val="40AF0125"/>
    <w:rsid w:val="445D7CFA"/>
    <w:rsid w:val="49F378CA"/>
    <w:rsid w:val="4C6A7458"/>
    <w:rsid w:val="4E047C37"/>
    <w:rsid w:val="4EDD221B"/>
    <w:rsid w:val="4FF22A85"/>
    <w:rsid w:val="55434CEA"/>
    <w:rsid w:val="55A439DB"/>
    <w:rsid w:val="59FFB735"/>
    <w:rsid w:val="5AB762E7"/>
    <w:rsid w:val="5DEB738C"/>
    <w:rsid w:val="5FF7CC0C"/>
    <w:rsid w:val="66EF48BC"/>
    <w:rsid w:val="677F115E"/>
    <w:rsid w:val="69870E56"/>
    <w:rsid w:val="69CA8619"/>
    <w:rsid w:val="6B1336F4"/>
    <w:rsid w:val="6B6EBA96"/>
    <w:rsid w:val="6BB362CE"/>
    <w:rsid w:val="6C1702AD"/>
    <w:rsid w:val="6C3BC7C4"/>
    <w:rsid w:val="6F789BC8"/>
    <w:rsid w:val="6FF96058"/>
    <w:rsid w:val="6FFFA8FB"/>
    <w:rsid w:val="7200280E"/>
    <w:rsid w:val="73B23DEB"/>
    <w:rsid w:val="73B7CEF2"/>
    <w:rsid w:val="7551418B"/>
    <w:rsid w:val="77AF8D7A"/>
    <w:rsid w:val="77B920C9"/>
    <w:rsid w:val="77D53826"/>
    <w:rsid w:val="7B7BABB6"/>
    <w:rsid w:val="7DAC5273"/>
    <w:rsid w:val="7ED5A64E"/>
    <w:rsid w:val="7F7F54A5"/>
    <w:rsid w:val="7F8176FA"/>
    <w:rsid w:val="7FF7E1C9"/>
    <w:rsid w:val="7FFFF256"/>
    <w:rsid w:val="AADFF176"/>
    <w:rsid w:val="ABCDCAD6"/>
    <w:rsid w:val="B7CFF8DD"/>
    <w:rsid w:val="BED9CE24"/>
    <w:rsid w:val="BFE33938"/>
    <w:rsid w:val="BFF8A533"/>
    <w:rsid w:val="CCFF5DB7"/>
    <w:rsid w:val="D7FD3606"/>
    <w:rsid w:val="DB79BEB6"/>
    <w:rsid w:val="DDA757B7"/>
    <w:rsid w:val="DDEF43BF"/>
    <w:rsid w:val="DFBB5136"/>
    <w:rsid w:val="E0AED72F"/>
    <w:rsid w:val="EFD3764C"/>
    <w:rsid w:val="F755AEA1"/>
    <w:rsid w:val="F79F711B"/>
    <w:rsid w:val="F7FC4C08"/>
    <w:rsid w:val="F7FF1CA5"/>
    <w:rsid w:val="F8F7CDC7"/>
    <w:rsid w:val="F99CF628"/>
    <w:rsid w:val="F9F1BA9A"/>
    <w:rsid w:val="FA73C16D"/>
    <w:rsid w:val="FB7C249C"/>
    <w:rsid w:val="FDD1953C"/>
    <w:rsid w:val="FE6F7D9D"/>
    <w:rsid w:val="FFBF1242"/>
    <w:rsid w:val="FFC2DC15"/>
    <w:rsid w:val="FFCEA116"/>
    <w:rsid w:val="FFDED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unhideWhenUsed="0" w:uiPriority="0" w:name="Table 3D effects 1"/>
    <w:lsdException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1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1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next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link w:val="353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Unresolved Mention"/>
    <w:basedOn w:val="1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51">
    <w:name w:val="First Paragraph"/>
    <w:basedOn w:val="35"/>
    <w:next w:val="35"/>
    <w:qFormat/>
    <w:uiPriority w:val="0"/>
  </w:style>
  <w:style w:type="character" w:customStyle="1" w:styleId="352">
    <w:name w:val="Verbatim Char"/>
    <w:basedOn w:val="353"/>
    <w:link w:val="354"/>
    <w:qFormat/>
    <w:uiPriority w:val="0"/>
  </w:style>
  <w:style w:type="character" w:customStyle="1" w:styleId="353">
    <w:name w:val="Body Text Char"/>
    <w:basedOn w:val="136"/>
    <w:link w:val="35"/>
    <w:qFormat/>
    <w:uiPriority w:val="0"/>
  </w:style>
  <w:style w:type="paragraph" w:customStyle="1" w:styleId="354">
    <w:name w:val="Source Code"/>
    <w:basedOn w:val="1"/>
    <w:link w:val="352"/>
    <w:qFormat/>
    <w:uiPriority w:val="0"/>
    <w:pPr>
      <w:wordWrap w:val="0"/>
    </w:pPr>
  </w:style>
  <w:style w:type="paragraph" w:customStyle="1" w:styleId="355">
    <w:name w:val="Compact"/>
    <w:basedOn w:val="35"/>
    <w:qFormat/>
    <w:uiPriority w:val="0"/>
    <w:pPr>
      <w:spacing w:before="36" w:after="36"/>
    </w:pPr>
  </w:style>
  <w:style w:type="character" w:customStyle="1" w:styleId="356">
    <w:name w:val="FunctionTok"/>
    <w:basedOn w:val="352"/>
    <w:qFormat/>
    <w:uiPriority w:val="0"/>
    <w:rPr>
      <w:color w:val="06287E"/>
    </w:rPr>
  </w:style>
  <w:style w:type="character" w:customStyle="1" w:styleId="357">
    <w:name w:val="DataTypeTok"/>
    <w:basedOn w:val="352"/>
    <w:qFormat/>
    <w:uiPriority w:val="0"/>
    <w:rPr>
      <w:color w:val="902000"/>
    </w:rPr>
  </w:style>
  <w:style w:type="character" w:customStyle="1" w:styleId="358">
    <w:name w:val="NormalTok"/>
    <w:basedOn w:val="352"/>
    <w:qFormat/>
    <w:uiPriority w:val="0"/>
  </w:style>
  <w:style w:type="character" w:customStyle="1" w:styleId="359">
    <w:name w:val="StringTok"/>
    <w:basedOn w:val="352"/>
    <w:qFormat/>
    <w:uiPriority w:val="0"/>
    <w:rPr>
      <w:color w:val="4070A0"/>
    </w:rPr>
  </w:style>
  <w:style w:type="character" w:customStyle="1" w:styleId="360">
    <w:name w:val="OperatorTok"/>
    <w:basedOn w:val="352"/>
    <w:qFormat/>
    <w:uiPriority w:val="0"/>
    <w:rPr>
      <w:color w:val="666666"/>
    </w:rPr>
  </w:style>
  <w:style w:type="character" w:customStyle="1" w:styleId="361">
    <w:name w:val="CommentTok"/>
    <w:basedOn w:val="352"/>
    <w:qFormat/>
    <w:uiPriority w:val="0"/>
    <w:rPr>
      <w:i/>
      <w:color w:val="60A0B0"/>
    </w:rPr>
  </w:style>
  <w:style w:type="character" w:customStyle="1" w:styleId="362">
    <w:name w:val="ImportTok"/>
    <w:basedOn w:val="352"/>
    <w:qFormat/>
    <w:uiPriority w:val="0"/>
    <w:rPr>
      <w:b/>
      <w:color w:val="008000"/>
    </w:rPr>
  </w:style>
  <w:style w:type="character" w:customStyle="1" w:styleId="363">
    <w:name w:val="KeywordTok"/>
    <w:basedOn w:val="352"/>
    <w:qFormat/>
    <w:uiPriority w:val="0"/>
    <w:rPr>
      <w:b/>
      <w:color w:val="007020"/>
    </w:rPr>
  </w:style>
  <w:style w:type="character" w:customStyle="1" w:styleId="364">
    <w:name w:val="VariableTok"/>
    <w:basedOn w:val="352"/>
    <w:qFormat/>
    <w:uiPriority w:val="0"/>
    <w:rPr>
      <w:color w:val="19177C"/>
    </w:rPr>
  </w:style>
  <w:style w:type="character" w:customStyle="1" w:styleId="365">
    <w:name w:val="BuiltInTok"/>
    <w:basedOn w:val="352"/>
    <w:qFormat/>
    <w:uiPriority w:val="0"/>
    <w:rPr>
      <w:color w:val="008000"/>
    </w:rPr>
  </w:style>
  <w:style w:type="character" w:customStyle="1" w:styleId="366">
    <w:name w:val="ControlFlowTok"/>
    <w:basedOn w:val="352"/>
    <w:qFormat/>
    <w:uiPriority w:val="0"/>
    <w:rPr>
      <w:b/>
      <w:color w:val="007020"/>
    </w:rPr>
  </w:style>
  <w:style w:type="character" w:customStyle="1" w:styleId="367">
    <w:name w:val="PreprocessorTok"/>
    <w:basedOn w:val="352"/>
    <w:qFormat/>
    <w:uiPriority w:val="0"/>
    <w:rPr>
      <w:color w:val="BC7A00"/>
    </w:rPr>
  </w:style>
  <w:style w:type="character" w:customStyle="1" w:styleId="368">
    <w:name w:val="SpecialStringTok"/>
    <w:basedOn w:val="352"/>
    <w:qFormat/>
    <w:uiPriority w:val="0"/>
    <w:rPr>
      <w:color w:val="BB6688"/>
    </w:rPr>
  </w:style>
  <w:style w:type="character" w:customStyle="1" w:styleId="369">
    <w:name w:val="SpecialCharTok"/>
    <w:basedOn w:val="352"/>
    <w:qFormat/>
    <w:uiPriority w:val="0"/>
    <w:rPr>
      <w:color w:val="4070A0"/>
    </w:rPr>
  </w:style>
  <w:style w:type="character" w:customStyle="1" w:styleId="370">
    <w:name w:val="DecValTok"/>
    <w:basedOn w:val="352"/>
    <w:qFormat/>
    <w:uiPriority w:val="0"/>
    <w:rPr>
      <w:color w:val="40A070"/>
    </w:rPr>
  </w:style>
  <w:style w:type="character" w:customStyle="1" w:styleId="371">
    <w:name w:val="AttributeTok"/>
    <w:basedOn w:val="352"/>
    <w:qFormat/>
    <w:uiPriority w:val="0"/>
    <w:rPr>
      <w:color w:val="7D9029"/>
    </w:rPr>
  </w:style>
  <w:style w:type="character" w:customStyle="1" w:styleId="372">
    <w:name w:val="FloatTok"/>
    <w:basedOn w:val="352"/>
    <w:qFormat/>
    <w:uiPriority w:val="0"/>
    <w:rPr>
      <w:color w:val="40A070"/>
    </w:rPr>
  </w:style>
  <w:style w:type="character" w:customStyle="1" w:styleId="373">
    <w:name w:val="ExtensionTok"/>
    <w:basedOn w:val="352"/>
    <w:qFormat/>
    <w:uiPriority w:val="0"/>
  </w:style>
  <w:style w:type="character" w:customStyle="1" w:styleId="374">
    <w:name w:val="CharTok"/>
    <w:basedOn w:val="352"/>
    <w:qFormat/>
    <w:uiPriority w:val="0"/>
    <w:rPr>
      <w:color w:val="4070A0"/>
    </w:rPr>
  </w:style>
  <w:style w:type="paragraph" w:customStyle="1" w:styleId="375">
    <w:name w:val="CodeBlock"/>
    <w:qFormat/>
    <w:uiPriority w:val="0"/>
    <w:pPr>
      <w:spacing w:after="80" w:line="240" w:lineRule="auto"/>
      <w:ind w:left="142"/>
    </w:pPr>
    <w:rPr>
      <w:rFonts w:ascii="Consolas" w:hAnsi="Consolas" w:eastAsia="Consolas" w:cstheme="minorBidi"/>
      <w:sz w:val="15"/>
      <w:szCs w:val="22"/>
      <w:lang w:val="en-US" w:eastAsia="en-US" w:bidi="ar-SA"/>
    </w:rPr>
  </w:style>
  <w:style w:type="paragraph" w:customStyle="1" w:styleId="376">
    <w:name w:val="Note"/>
    <w:qFormat/>
    <w:uiPriority w:val="0"/>
    <w:pPr>
      <w:spacing w:after="200" w:line="276" w:lineRule="auto"/>
      <w:ind w:left="170"/>
    </w:pPr>
    <w:rPr>
      <w:rFonts w:eastAsia="宋体" w:asciiTheme="minorHAnsi" w:hAnsiTheme="minorHAnsi" w:cstheme="minorBidi"/>
      <w:color w:val="505050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zhou\Library\Containers\com.kingsoft.wpsoffice.mac\Data\F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15</Pages>
  <Words>2522</Words>
  <Characters>4010</Characters>
  <Lines>95</Lines>
  <Paragraphs>27</Paragraphs>
  <TotalTime>0</TotalTime>
  <ScaleCrop>false</ScaleCrop>
  <LinksUpToDate>false</LinksUpToDate>
  <CharactersWithSpaces>4226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2025-03-07T15:37:00Z</dcterms:created>
  <dc:creator>w00280246</dc:creator>
  <cp:lastModifiedBy>Luo</cp:lastModifiedBy>
  <cp:lastPrinted>2021-12-23T03:08:00Z</cp:lastPrinted>
  <dcterms:modified xsi:type="dcterms:W3CDTF">2026-05-28T08:43:45Z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eyJoZGlkIjoiZDBjYTlkNmRiZmFkZGI0N2NiMzBlODI0ZjVmZDhhMmUiLCJ1c2VySWQiOiIxMjg5NDQ2MTc1In0=</vt:lpwstr>
  </property>
  <property fmtid="{D5CDD505-2E9C-101B-9397-08002B2CF9AE}" pid="23" name="KSOProductBuildVer">
    <vt:lpwstr>2052-12.1.0.26375</vt:lpwstr>
  </property>
  <property fmtid="{D5CDD505-2E9C-101B-9397-08002B2CF9AE}" pid="24" name="ICV">
    <vt:lpwstr>CF7DFBD87F2543E49EE8CEE7DA3374EB_13</vt:lpwstr>
  </property>
</Properties>
</file>