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 w:line="384"/>
        <w:jc w:val="right"/>
      </w:pPr>
      <w:r>
        <w:rPr>
          <w:rFonts w:ascii="KoPub돋움체" w:cs="KoPub돋움체" w:eastAsia="KoPub돋움체" w:hAnsi="KoPub돋움체"/>
          <w:b/>
          <w:bCs/>
          <w:color w:val="1D6B6B"/>
          <w:sz w:val="24"/>
          <w:szCs w:val="24"/>
        </w:rPr>
        <w:t xml:space="preserve">제26-00호</w:t>
      </w:r>
    </w:p>
    <w:p>
      <w:pPr>
        <w:spacing w:after="1200" w:before="0" w:line="384"/>
        <w:jc w:val="right"/>
      </w:pPr>
      <w:r>
        <w:rPr>
          <w:rFonts w:ascii="KoPub돋움체" w:cs="KoPub돋움체" w:eastAsia="KoPub돋움체" w:hAnsi="KoPub돋움체"/>
          <w:b w:val="false"/>
          <w:bCs w:val="false"/>
          <w:color w:val="555555"/>
          <w:sz w:val="20"/>
          <w:szCs w:val="20"/>
        </w:rPr>
        <w:t xml:space="preserve">2026. 00. 00</w:t>
      </w:r>
    </w:p>
    <w:p>
      <w:pPr>
        <w:spacing w:after="120" w:before="0" w:line="384"/>
      </w:pPr>
      <w:r>
        <w:rPr>
          <w:rFonts w:ascii="KoPub돋움체" w:cs="KoPub돋움체" w:eastAsia="KoPub돋움체" w:hAnsi="KoPub돋움체"/>
          <w:b/>
          <w:bCs/>
          <w:sz w:val="52"/>
          <w:szCs w:val="52"/>
        </w:rPr>
        <w:t xml:space="preserve">KOSI 중소기업 이슈</w:t>
      </w:r>
      <w:r>
        <w:rPr>
          <w:rFonts w:ascii="KoPub돋움체" w:cs="KoPub돋움체" w:eastAsia="KoPub돋움체" w:hAnsi="KoPub돋움체"/>
          <w:b/>
          <w:bCs/>
          <w:sz w:val="30"/>
          <w:szCs w:val="30"/>
          <w:vertAlign w:val="superscript"/>
        </w:rPr>
        <w:t xml:space="preserve">n</w:t>
      </w:r>
      <w:r>
        <w:rPr>
          <w:rFonts w:ascii="KoPub돋움체" w:cs="KoPub돋움체" w:eastAsia="KoPub돋움체" w:hAnsi="KoPub돋움체"/>
          <w:b/>
          <w:bCs/>
          <w:sz w:val="52"/>
          <w:szCs w:val="52"/>
        </w:rPr>
        <w:t xml:space="preserve"> 포커스</w:t>
      </w:r>
    </w:p>
    <w:p>
      <w:pPr>
        <w:pBdr>
          <w:bottom w:val="single" w:color="1D6B6B" w:sz="12"/>
        </w:pBdr>
        <w:spacing w:after="160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4"/>
          <w:szCs w:val="24"/>
        </w:rPr>
        <w:t xml:space="preserve"> </w:t>
      </w:r>
    </w:p>
    <w:p>
      <w:pPr>
        <w:spacing w:after="120" w:before="0" w:line="384"/>
        <w:jc w:val="right"/>
      </w:pPr>
      <w:r>
        <w:rPr>
          <w:rFonts w:ascii="KoPub돋움체" w:cs="KoPub돋움체" w:eastAsia="KoPub돋움체" w:hAnsi="KoPub돋움체"/>
          <w:b/>
          <w:bCs/>
          <w:color w:val="1D6B6B"/>
          <w:sz w:val="36"/>
          <w:szCs w:val="36"/>
        </w:rPr>
        <w:t xml:space="preserve">중앙부처 중소기업 지원사업의</w:t>
      </w:r>
    </w:p>
    <w:p>
      <w:pPr>
        <w:spacing w:after="1800" w:before="0" w:line="384"/>
        <w:jc w:val="right"/>
      </w:pPr>
      <w:r>
        <w:rPr>
          <w:rFonts w:ascii="KoPub돋움체" w:cs="KoPub돋움체" w:eastAsia="KoPub돋움체" w:hAnsi="KoPub돋움체"/>
          <w:b/>
          <w:bCs/>
          <w:color w:val="1D6B6B"/>
          <w:sz w:val="36"/>
          <w:szCs w:val="36"/>
        </w:rPr>
        <w:t xml:space="preserve">지원목적 유형 분석</w:t>
      </w:r>
    </w:p>
    <w:p>
      <w:pPr>
        <w:spacing w:after="120" w:before="0" w:line="384"/>
        <w:jc w:val="right"/>
      </w:pPr>
      <w:r>
        <w:rPr>
          <w:rFonts w:ascii="KoPub돋움체" w:cs="KoPub돋움체" w:eastAsia="KoPub돋움체" w:hAnsi="KoPub돋움체"/>
          <w:b/>
          <w:bCs/>
          <w:sz w:val="22"/>
          <w:szCs w:val="22"/>
        </w:rPr>
        <w:t xml:space="preserve">책임작성</w:t>
      </w:r>
    </w:p>
    <w:p>
      <w:pPr>
        <w:spacing w:after="40" w:before="0" w:line="384"/>
        <w:jc w:val="right"/>
      </w:pPr>
      <w:r>
        <w:rPr>
          <w:rFonts w:ascii="KoPub돋움체" w:cs="KoPub돋움체" w:eastAsia="KoPub돋움체" w:hAnsi="KoPub돋움체"/>
          <w:b w:val="false"/>
          <w:bCs w:val="false"/>
          <w:sz w:val="22"/>
          <w:szCs w:val="22"/>
        </w:rPr>
        <w:t xml:space="preserve">○ ○ ○  연구위원</w:t>
      </w:r>
    </w:p>
    <w:p>
      <w:pPr>
        <w:spacing w:after="160" w:before="0" w:line="384"/>
        <w:jc w:val="right"/>
      </w:pPr>
      <w:r>
        <w:rPr>
          <w:rFonts w:ascii="KoPub돋움체" w:cs="KoPub돋움체" w:eastAsia="KoPub돋움체" w:hAnsi="KoPub돋움체"/>
          <w:b w:val="false"/>
          <w:bCs w:val="false"/>
          <w:color w:val="555555"/>
          <w:sz w:val="18"/>
          <w:szCs w:val="18"/>
        </w:rPr>
        <w:t xml:space="preserve">(02-707-0000 / ○○○@kosi.re.kr)</w:t>
      </w:r>
    </w:p>
    <w:p>
      <w:pPr>
        <w:spacing w:after="2400" w:before="0" w:line="384"/>
        <w:jc w:val="right"/>
      </w:pPr>
      <w:r>
        <w:rPr>
          <w:rFonts w:ascii="KoPub돋움체" w:cs="KoPub돋움체" w:eastAsia="KoPub돋움체" w:hAnsi="KoPub돋움체"/>
          <w:b w:val="false"/>
          <w:bCs w:val="false"/>
          <w:sz w:val="20"/>
          <w:szCs w:val="20"/>
        </w:rPr>
        <w:t xml:space="preserve">○ ○ ○  부연구위원 / ○ ○ ○  연구원</w:t>
      </w:r>
    </w:p>
    <w:p>
      <w:pPr>
        <w:spacing w:after="60" w:before="0" w:line="384"/>
        <w:jc w:val="center"/>
      </w:pPr>
      <w:r>
        <w:rPr>
          <w:rFonts w:ascii="KoPub돋움체" w:cs="KoPub돋움체" w:eastAsia="KoPub돋움체" w:hAnsi="KoPub돋움체"/>
          <w:b/>
          <w:bCs/>
          <w:sz w:val="24"/>
          <w:szCs w:val="24"/>
        </w:rPr>
        <w:t xml:space="preserve">중소벤처기업연구원</w:t>
      </w:r>
    </w:p>
    <w:p>
      <w:pPr>
        <w:jc w:val="center"/>
      </w:pPr>
      <w:r>
        <w:rPr>
          <w:rFonts w:ascii="KoPub돋움체" w:cs="KoPub돋움체" w:eastAsia="KoPub돋움체" w:hAnsi="KoPub돋움체"/>
          <w:b w:val="false"/>
          <w:bCs w:val="false"/>
          <w:color w:val="555555"/>
          <w:sz w:val="16"/>
          <w:szCs w:val="16"/>
        </w:rPr>
        <w:t xml:space="preserve">※ KOSI 중소기업 이슈n 포커스는 중소벤처기업연구원 홈페이지(www.kosi.re.kr)에서도 보실 수 있습니다.</w:t>
      </w:r>
    </w:p>
    <w:p>
      <w:r>
        <w:br w:type="page"/>
      </w:r>
    </w:p>
    <w:p>
      <w:pPr>
        <w:shd w:fill="E8F3F1" w:color="auto" w:val="clear"/>
        <w:spacing w:after="200" w:before="360" w:line="384"/>
      </w:pPr>
      <w:r>
        <w:rPr>
          <w:rFonts w:ascii="KoPub돋움체" w:cs="KoPub돋움체" w:eastAsia="KoPub돋움체" w:hAnsi="KoPub돋움체"/>
          <w:b/>
          <w:bCs/>
          <w:color w:val="1D6B6B"/>
          <w:sz w:val="32"/>
          <w:szCs w:val="32"/>
        </w:rPr>
        <w:t xml:space="preserve">  목 차</w:t>
      </w:r>
    </w:p>
    <w:p>
      <w:pPr>
        <w:spacing w:after="120" w:before="0" w:line="384"/>
      </w:pPr>
      <w:r>
        <w:rPr>
          <w:rFonts w:ascii="KoPub돋움체" w:cs="KoPub돋움체" w:eastAsia="KoPub돋움체" w:hAnsi="KoPub돋움체"/>
          <w:b/>
          <w:bCs/>
          <w:sz w:val="26"/>
          <w:szCs w:val="26"/>
        </w:rPr>
        <w:t xml:space="preserve">1. 서론</w:t>
      </w:r>
    </w:p>
    <w:p>
      <w:pPr>
        <w:spacing w:after="120" w:before="0" w:line="384"/>
      </w:pPr>
      <w:r>
        <w:rPr>
          <w:rFonts w:ascii="KoPub돋움체" w:cs="KoPub돋움체" w:eastAsia="KoPub돋움체" w:hAnsi="KoPub돋움체"/>
          <w:b/>
          <w:bCs/>
          <w:sz w:val="26"/>
          <w:szCs w:val="26"/>
        </w:rPr>
        <w:t xml:space="preserve">2. 지원목적 유형 체계</w:t>
      </w:r>
    </w:p>
    <w:p>
      <w:pPr>
        <w:spacing w:after="120" w:before="0" w:line="384"/>
      </w:pPr>
      <w:r>
        <w:rPr>
          <w:rFonts w:ascii="KoPub돋움체" w:cs="KoPub돋움체" w:eastAsia="KoPub돋움체" w:hAnsi="KoPub돋움체"/>
          <w:b/>
          <w:bCs/>
          <w:sz w:val="26"/>
          <w:szCs w:val="26"/>
        </w:rPr>
        <w:t xml:space="preserve">3. 유형별 지원 규모와 추이</w:t>
      </w:r>
    </w:p>
    <w:p>
      <w:pPr>
        <w:spacing w:after="120" w:before="0" w:line="384"/>
      </w:pPr>
      <w:r>
        <w:rPr>
          <w:rFonts w:ascii="KoPub돋움체" w:cs="KoPub돋움체" w:eastAsia="KoPub돋움체" w:hAnsi="KoPub돋움체"/>
          <w:b/>
          <w:bCs/>
          <w:sz w:val="26"/>
          <w:szCs w:val="26"/>
        </w:rPr>
        <w:t xml:space="preserve">4. 소관별 구조와 기존 분류체계 비교</w:t>
      </w:r>
    </w:p>
    <w:p>
      <w:pPr>
        <w:spacing w:after="120" w:before="0" w:line="384"/>
      </w:pPr>
      <w:r>
        <w:rPr>
          <w:rFonts w:ascii="KoPub돋움체" w:cs="KoPub돋움체" w:eastAsia="KoPub돋움체" w:hAnsi="KoPub돋움체"/>
          <w:b/>
          <w:bCs/>
          <w:sz w:val="26"/>
          <w:szCs w:val="26"/>
        </w:rPr>
        <w:t xml:space="preserve">5. 시사점 및 정책과제</w:t>
      </w:r>
    </w:p>
    <w:p>
      <w:pPr>
        <w:shd w:fill="E8F3F1" w:color="auto" w:val="clear"/>
        <w:spacing w:after="200" w:before="360" w:line="384"/>
      </w:pPr>
      <w:r>
        <w:rPr>
          <w:rFonts w:ascii="KoPub돋움체" w:cs="KoPub돋움체" w:eastAsia="KoPub돋움체" w:hAnsi="KoPub돋움체"/>
          <w:b/>
          <w:bCs/>
          <w:color w:val="1D6B6B"/>
          <w:sz w:val="32"/>
          <w:szCs w:val="32"/>
        </w:rPr>
        <w:t xml:space="preserve">  요 약</w:t>
      </w:r>
    </w:p>
    <w:p>
      <w:pPr>
        <w:spacing w:after="120" w:before="240" w:line="384"/>
      </w:pPr>
      <w:r>
        <w:rPr>
          <w:rFonts w:ascii="KoPub돋움체" w:cs="KoPub돋움체" w:eastAsia="KoPub돋움체" w:hAnsi="KoPub돋움체"/>
          <w:b/>
          <w:bCs/>
          <w:sz w:val="26"/>
          <w:szCs w:val="26"/>
        </w:rPr>
        <w:t xml:space="preserve">&lt; 배경 및 목적 &gt;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중앙부처 중소기업 지원사업은 23개 소관, 연 700건 내외의 내역사업으로 운영되나, 부처별 사업목적 서술 방식이 달라 '무엇을 위한 지원인가'를 공통 기준으로 비교하기 어려움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정책디렉토리의 지원분야 분류는 내역사업의 36%(787건)가 결측이고 '혼합(단독+공동)' 등 포괄 항목이 331건에 달해 목적별 포트폴리오 분석에 한계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본 보고서는 2024~2026년 중앙부처 내역사업 2,189건의 사업목적·내용과 기업마당 공고 지원내용을 사전학습 문장 임베딩(bge-m3)으로 수치화하고 군집분석으로 지원목적 유형을 도출하여, 유형별 예산 구조와 추이, 정책과제를 제시</w:t>
      </w:r>
    </w:p>
    <w:p>
      <w:pPr>
        <w:spacing w:after="120" w:before="240" w:line="384"/>
      </w:pPr>
      <w:r>
        <w:rPr>
          <w:rFonts w:ascii="KoPub돋움체" w:cs="KoPub돋움체" w:eastAsia="KoPub돋움체" w:hAnsi="KoPub돋움체"/>
          <w:b/>
          <w:bCs/>
          <w:sz w:val="26"/>
          <w:szCs w:val="26"/>
        </w:rPr>
        <w:t xml:space="preserve">&lt; 지원목적 유형 체계 &gt;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지원목적은 8개 대분류·22개 중분류로 구조화되며, 명칭은 '목적 서술어 + (수단)' 형식으로 통일</w:t>
      </w:r>
    </w:p>
    <w:p>
      <w:pPr>
        <w:pStyle w:val="ListParagraph"/>
        <w:numPr>
          <w:ilvl w:val="2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혁신 단계형: A 기술혁신 촉진(개발·실증·사업화), B 창업·벤처 육성, C 수출·해외진출 촉진</w:t>
      </w:r>
    </w:p>
    <w:p>
      <w:pPr>
        <w:pStyle w:val="ListParagraph"/>
        <w:numPr>
          <w:ilvl w:val="2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투입요소형: D 자금조달 지원(융자·보증·투자), E 생산기반 현대화·친환경 전환(시설·설비), F 전문인력 양성·채용 지원, G 고용 창출·유지 및 노동환경 개선</w:t>
      </w:r>
    </w:p>
    <w:p>
      <w:pPr>
        <w:pStyle w:val="ListParagraph"/>
        <w:numPr>
          <w:ilvl w:val="2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경영서비스형: H 경영역량 강화·사업화 지원(컨설팅·마케팅·디자인)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기술개발과 실증·사업화는 임베딩 공간에서 연속체를 이루어(두 라벨 간 실루엣 0.036) 하나의 대분류 안에서 단계로 구분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목적 서술이 일반 어휘에 그쳐 유형을 특정할 수 없는 사업 265건(12.1%, 2026년 예산 1.22조원)은 유형화 대상에서 제외하고 별도 보고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연도 간 동일 사업의 대분류 일치율 85.1%, 기존 지원분야 분류와의 정보량(NMI) 0.409로 어휘 임베딩 단독(82.3%, 0.379)보다 안정적</w:t>
      </w:r>
    </w:p>
    <w:p>
      <w:pPr>
        <w:spacing w:after="120" w:before="240" w:line="384"/>
      </w:pPr>
      <w:r>
        <w:rPr>
          <w:rFonts w:ascii="KoPub돋움체" w:cs="KoPub돋움체" w:eastAsia="KoPub돋움체" w:hAnsi="KoPub돋움체"/>
          <w:b/>
          <w:bCs/>
          <w:sz w:val="26"/>
          <w:szCs w:val="26"/>
        </w:rPr>
        <w:t xml:space="preserve">&lt; 유형별 지원 규모와 추이('24~'26) &gt;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2026년 유형화 대상 예산 29.73조원 중 자금조달 지원이 48.0%(14.26조원)로 절반에 근접</w:t>
      </w:r>
    </w:p>
    <w:p>
      <w:pPr>
        <w:pStyle w:val="ListParagraph"/>
        <w:numPr>
          <w:ilvl w:val="2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기술혁신 촉진 19.2%(5.72조원) &gt; 고용·노동환경 9.4%(2.81조원) &gt; 수출·해외진출 7.4%(2.19조원) &gt; 창업·벤처 5.8%(1.72조원) &gt; 생산기반·친환경 5.7%(1.68조원)</w:t>
      </w:r>
    </w:p>
    <w:p>
      <w:pPr>
        <w:pStyle w:val="ListParagraph"/>
        <w:numPr>
          <w:ilvl w:val="2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전문인력 양성·채용(1.1%)과 경영역량 강화(3.5%) 등 역량형 지원은 4.6%에 불과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시장진출·실증·사업화·설비 전환 지원이 빠르게 확대되고, 원천기술·인력양성 지원은 축소</w:t>
      </w:r>
    </w:p>
    <w:p>
      <w:pPr>
        <w:pStyle w:val="ListParagraph"/>
        <w:numPr>
          <w:ilvl w:val="2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해외시장 진출 +404.1%(0.10→0.52조원), 기술사업화·기술이전 +163.2%(0.11→0.30조원), 환경·에너지 설비 설치 +73.4%(0.75→1.29조원)</w:t>
      </w:r>
    </w:p>
    <w:p>
      <w:pPr>
        <w:pStyle w:val="ListParagraph"/>
        <w:numPr>
          <w:ilvl w:val="2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원천·핵심기술 개발 △29.9%(0.41→0.28조원), 전문인력 양성·채용 △11.4%(0.37→0.32조원)</w:t>
      </w:r>
    </w:p>
    <w:p>
      <w:pPr>
        <w:pStyle w:val="ListParagraph"/>
        <w:numPr>
          <w:ilvl w:val="2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기술혁신 예산 중 실증·상용화·사업화 단계 비중: 17.7%('24) → 24.3%('26) [6.6%p↑]</w:t>
      </w:r>
    </w:p>
    <w:p>
      <w:pPr>
        <w:spacing w:after="120" w:before="240" w:line="384"/>
      </w:pPr>
      <w:r>
        <w:rPr>
          <w:rFonts w:ascii="KoPub돋움체" w:cs="KoPub돋움체" w:eastAsia="KoPub돋움체" w:hAnsi="KoPub돋움체"/>
          <w:b/>
          <w:bCs/>
          <w:sz w:val="26"/>
          <w:szCs w:val="26"/>
        </w:rPr>
        <w:t xml:space="preserve">&lt; 소관별 구조와 기존 분류체계 비교 &gt;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소관별 지원목적은 뚜렷이 특화: 중기부는 자금조달 지원 59.3%, 산업부는 기술혁신 69.1%, 고용부는 고용·노동환경 80.9%, 기후부는 생산기반·친환경 전환 55.4%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기술혁신 촉진은 15개 소관, 창업·벤처 육성과 수출·해외진출 촉진은 각 12개 소관이 운영하여 부처 간 유사·중복 검토 수요가 큼</w:t>
      </w:r>
    </w:p>
    <w:p>
      <w:pPr>
        <w:pStyle w:val="ListParagraph"/>
        <w:numPr>
          <w:ilvl w:val="2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AI 응용제품 신속 상용화 지원사업은 중기부·과기부·농식품부·기후부·해수부·식약처·복지부 7개 부처가 동일 구조로 병렬 운영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기존 분류의 '기술사업화/이전/지도' 210건은 기술혁신 154건·수출 15건·유형화 제외 20건으로, '디자인/상품화/사업화' 147건은 경영역량 47건·수출 16건·기술혁신 15건으로 재구분</w:t>
      </w:r>
    </w:p>
    <w:p>
      <w:pPr>
        <w:spacing w:after="120" w:before="240" w:line="384"/>
      </w:pPr>
      <w:r>
        <w:rPr>
          <w:rFonts w:ascii="KoPub돋움체" w:cs="KoPub돋움체" w:eastAsia="KoPub돋움체" w:hAnsi="KoPub돋움체"/>
          <w:b/>
          <w:bCs/>
          <w:sz w:val="26"/>
          <w:szCs w:val="26"/>
        </w:rPr>
        <w:t xml:space="preserve">&lt; 정책과제 &gt;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중소기업 지원사업 통합관리 분류체계를 '목적(8개 대분류)'과 '수단(지원형태)'의 2축으로 개편하고, 임베딩 기반 자동 분류를 사업 등록 단계에 도입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예산서 사업설명자료의 사업목적 서술 기준(지원 대상·수단·기대효과 명시)을 마련하여 목적 서술 불충분 사업(12.1%)을 축소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동일 목적 유형 내 다부처 사업을 사전협의·성과평가의 유사중복 검토 모집단으로 활용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유형별 예산 포트폴리오를 연 1회 공표하고, 자금조달 편중과 역량형 지원 과소를 중소기업 지원 기본계획의 점검 지표로 반영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급증 유형(실증·사업화, 해외시장 진출)에 대해 유형 공통 성과지표를 설계하여 신설·확대 사업의 성과관리 일관성 확보</w:t>
      </w:r>
    </w:p>
    <w:p>
      <w:r>
        <w:br w:type="page"/>
      </w:r>
    </w:p>
    <w:p>
      <w:pPr>
        <w:pStyle w:val="Heading1"/>
        <w:spacing w:after="240" w:before="360" w:line="384"/>
      </w:pPr>
      <w:r>
        <w:rPr>
          <w:rFonts w:ascii="KoPub돋움체" w:cs="KoPub돋움체" w:eastAsia="KoPub돋움체" w:hAnsi="KoPub돋움체"/>
          <w:b/>
          <w:bCs/>
          <w:color w:val="1D6B6B"/>
          <w:sz w:val="40"/>
          <w:szCs w:val="40"/>
        </w:rPr>
        <w:t xml:space="preserve">01  </w:t>
      </w:r>
      <w:r>
        <w:rPr>
          <w:rFonts w:ascii="KoPub돋움체" w:cs="KoPub돋움체" w:eastAsia="KoPub돋움체" w:hAnsi="KoPub돋움체"/>
          <w:b/>
          <w:bCs/>
          <w:sz w:val="40"/>
          <w:szCs w:val="40"/>
        </w:rPr>
        <w:t xml:space="preserve">서론</w:t>
      </w:r>
    </w:p>
    <w:p>
      <w:pPr>
        <w:pStyle w:val="Heading2"/>
        <w:spacing w:after="160" w:before="280" w:line="384"/>
      </w:pPr>
      <w:r>
        <w:rPr>
          <w:rFonts w:ascii="KoPub바탕체" w:cs="KoPub바탕체" w:eastAsia="KoPub바탕체" w:hAnsi="KoPub바탕체"/>
          <w:b/>
          <w:bCs/>
          <w:color w:val="2F6F7E"/>
          <w:sz w:val="30"/>
          <w:szCs w:val="30"/>
        </w:rPr>
        <w:t xml:space="preserve">가. 배경 및 목적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중앙부처의 중소기업 지원사업은 23개 소관이 연 670~800건의 내역사업으로 운영하며, 2026년 내역사업 예산은 30.95조원에 달함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내역사업 수(건): 796('24) → 722('25) → 671('26), 내역예산(조원): 28.71('24) → 29.32('25) → 30.95('26)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「중소기업기본법」에 따른 지원사업 통합관리와 사전협의·성과평가는 사업 간 유사·중복 검토를 전제로 하나, 부처별 사업목적 서술 방식이 달라 공통 기준의 비교가 어려움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정책디렉토리의 '지원분야' 분류는 결측과 포괄 항목이 많아 목적별 포트폴리오 분석에 한계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2024~2026년 중앙부처 내역사업 2,189건 중 지원분야 중분류 결측 787건(36.0%)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'혼합(단독+공동)' 331건, '기술사업화/이전/지도' 210건, '디자인/상품화/사업화' 147건 등 포괄 항목이 분류된 사업의 절반을 차지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사전학습 언어모델 기반 문장 임베딩은 서술 표현이 달라도 의미가 같은 문서를 가깝게 배치하므로, 부처 간 상이한 사업 서술을 공통 기준으로 재분류하는 데 적합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다국어 문장 임베딩 모델(bge-m3)은 한국어 정책 문서를 추가 학습 없이 1,024차원 벡터로 표현 가능(Chen et al., 2024)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군집분석으로 도출한 유형은 기준이 명시적이어서 연도·부처 간 재현 가능하고, 신규 사업에도 동일 기준으로 적용 가능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본 보고서는 중앙부처 내역사업의 사업목적·내용과 공고 지원내용을 임베딩·군집분석하여 지원목적 유형을 도출하고, 유형별 예산 구조와 추이, 소관별 특성을 분석하여 정책과제를 제시하고자 함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중소기업 지원사업의 분류체계 개편, 유사·중복 검토, 포트폴리오 점검의 기초자료로 활용 기대</w:t>
      </w:r>
    </w:p>
    <w:p>
      <w:pPr>
        <w:pStyle w:val="Heading2"/>
        <w:spacing w:after="160" w:before="280" w:line="384"/>
      </w:pPr>
      <w:r>
        <w:rPr>
          <w:rFonts w:ascii="KoPub바탕체" w:cs="KoPub바탕체" w:eastAsia="KoPub바탕체" w:hAnsi="KoPub바탕체"/>
          <w:b/>
          <w:bCs/>
          <w:color w:val="2F6F7E"/>
          <w:sz w:val="30"/>
          <w:szCs w:val="30"/>
        </w:rPr>
        <w:t xml:space="preserve">나. 분석자료 및 개요</w:t>
      </w:r>
    </w:p>
    <w:p>
      <w:pPr>
        <w:pStyle w:val="Heading3"/>
        <w:spacing w:after="120" w:before="200" w:line="384"/>
      </w:pPr>
      <w:r>
        <w:rPr>
          <w:rFonts w:ascii="KoPub바탕체" w:cs="KoPub바탕체" w:eastAsia="KoPub바탕체" w:hAnsi="KoPub바탕체"/>
          <w:b/>
          <w:bCs/>
          <w:color w:val="2F6F7E"/>
          <w:sz w:val="26"/>
          <w:szCs w:val="26"/>
        </w:rPr>
        <w:t xml:space="preserve">◆ 분석자료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중소벤처기업연구원 정책평가팀 중소기업 지원사업 DB(중앙부처 세부사업·내역사업, 기업마당 공고 연계)</w:t>
      </w:r>
    </w:p>
    <w:p>
      <w:pPr>
        <w:pStyle w:val="ListParagraph"/>
        <w:numPr>
          <w:ilvl w:val="2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각 부처 「예산 및 기금운용계획 사업설명자료」의 내역사업 단위 사업목적·내용, 수혜대상, 지원형태와 기업마당 공고의 지원내용을 내역사업 단위로 연계</w:t>
      </w:r>
    </w:p>
    <w:p>
      <w:pPr>
        <w:pStyle w:val="ListParagraph"/>
        <w:numPr>
          <w:ilvl w:val="2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2024~2026년 중앙부처 내역사업 2,189건(고유 내역사업 1,391개), 23개 소관</w:t>
      </w:r>
    </w:p>
    <w:p>
      <w:pPr>
        <w:pStyle w:val="Heading3"/>
        <w:spacing w:after="120" w:before="200" w:line="384"/>
      </w:pPr>
      <w:r>
        <w:rPr>
          <w:rFonts w:ascii="KoPub바탕체" w:cs="KoPub바탕체" w:eastAsia="KoPub바탕체" w:hAnsi="KoPub바탕체"/>
          <w:b/>
          <w:bCs/>
          <w:color w:val="2F6F7E"/>
          <w:sz w:val="26"/>
          <w:szCs w:val="26"/>
        </w:rPr>
        <w:t xml:space="preserve">◆ 분석개요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(방법) 문장 임베딩 → 산업영역 방향 제거 → 기능어휘 임베딩 결합 → K-평균 군집 → 해석적 병합 → 유형화 제외 판정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(내용) 지원목적 유형 체계, 유형별 건수·예산·추이, 소관별 구조, 기존 분류체계와의 비교, 어휘 임베딩 단독 결과와의 교차 검증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(기간) 2024~2026년</w:t>
      </w:r>
    </w:p>
    <w:p>
      <w:pPr>
        <w:pStyle w:val="Heading3"/>
        <w:spacing w:after="120" w:before="200" w:line="384"/>
      </w:pPr>
      <w:r>
        <w:rPr>
          <w:rFonts w:ascii="KoPub바탕체" w:cs="KoPub바탕체" w:eastAsia="KoPub바탕체" w:hAnsi="KoPub바탕체"/>
          <w:b/>
          <w:bCs/>
          <w:color w:val="2F6F7E"/>
          <w:sz w:val="26"/>
          <w:szCs w:val="26"/>
        </w:rPr>
        <w:t xml:space="preserve">◆ 용어의 정의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(내역사업) 예산서 세부사업 아래의 사업 단위로, 사업목적·내용과 예산이 개별 서술되는 분석의 기본 단위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(분석 문서) 내역사업명 + 내역목적(없으면 세부목적의 해당 내역 구간 또는 전체) + 수혜대상 + 공고 지원내용을 결합한 텍스트</w:t>
      </w:r>
    </w:p>
    <w:p>
      <w:pPr>
        <w:pStyle w:val="ListParagraph"/>
        <w:numPr>
          <w:ilvl w:val="2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내역목적 보유 1,753건(80.1%), 세부목적 대체 349건(15.9%), 목적 서술 부재 87건(4.0%), 공고 지원내용 보유 781건(35.7%)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(지원목적 유형) 사업이 달성하려는 목적을 기준으로 군집분석과 해석적 병합을 거쳐 명명한 분류. 명칭은 '목적 서술어 + (수단)' 형식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(지원형태) 출연·보조·직접·융자 등 예산 집행 방식으로, 지원목적과 구분되는 '수단'의 축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(유형화 제외) 사업목적이 '산업 육성·생태계 조성·활성화' 등 일반 어휘로만 서술되어 유형을 특정할 수 없는 사업</w:t>
      </w:r>
    </w:p>
    <w:p>
      <w:r>
        <w:br w:type="page"/>
      </w:r>
    </w:p>
    <w:p>
      <w:pPr>
        <w:pStyle w:val="Heading1"/>
        <w:spacing w:after="240" w:before="360" w:line="384"/>
      </w:pPr>
      <w:r>
        <w:rPr>
          <w:rFonts w:ascii="KoPub돋움체" w:cs="KoPub돋움체" w:eastAsia="KoPub돋움체" w:hAnsi="KoPub돋움체"/>
          <w:b/>
          <w:bCs/>
          <w:color w:val="1D6B6B"/>
          <w:sz w:val="40"/>
          <w:szCs w:val="40"/>
        </w:rPr>
        <w:t xml:space="preserve">02  </w:t>
      </w:r>
      <w:r>
        <w:rPr>
          <w:rFonts w:ascii="KoPub돋움체" w:cs="KoPub돋움체" w:eastAsia="KoPub돋움체" w:hAnsi="KoPub돋움체"/>
          <w:b/>
          <w:bCs/>
          <w:sz w:val="40"/>
          <w:szCs w:val="40"/>
        </w:rPr>
        <w:t xml:space="preserve">지원목적 유형 체계</w:t>
      </w:r>
    </w:p>
    <w:p>
      <w:pPr>
        <w:pStyle w:val="Heading2"/>
        <w:spacing w:after="160" w:before="280" w:line="384"/>
      </w:pPr>
      <w:r>
        <w:rPr>
          <w:rFonts w:ascii="KoPub바탕체" w:cs="KoPub바탕체" w:eastAsia="KoPub바탕체" w:hAnsi="KoPub바탕체"/>
          <w:b/>
          <w:bCs/>
          <w:color w:val="2F6F7E"/>
          <w:sz w:val="30"/>
          <w:szCs w:val="30"/>
        </w:rPr>
        <w:t xml:space="preserve">가. 유형 도출 절차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사전학습 문장 임베딩에 산업영역 방향 제거와 기능어휘 결합을 더해, 군집이 '어느 산업'보다 '무슨 목적'을 반영하도록 조정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(문장 임베딩) bge-m3로 분석 문서 2,189건을 1,024차원 벡터로 변환. 어순·문맥을 반영하여 표현이 다른 동일 목적 사업을 가깝게 배치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(산업영역 방향 제거) 지원산업·소관을 판별하는 선형 방향(선형판별분석, 12개)을 임베딩에서 제거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(기능어휘 결합) 형태소 분석(kiwipiepy) 기반 TF-IDF에서 지원수단 어휘(융자·컨설팅·상담회 등)를 χ² 통계로 가중한 잠재의미분석(LSA, 150차원) 벡터를 결합(최종 1,174차원)</w:t>
      </w:r>
    </w:p>
    <w:p>
      <w:pPr>
        <w:pStyle w:val="ListParagraph"/>
        <w:numPr>
          <w:ilvl w:val="2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결합 임베딩의 연도 간 동일 사업 군집 일치율은 0.825로 문장 임베딩 단독(0.712)·어휘 임베딩 단독(0.782)보다 높고, 소관과의 정보량(NMI)은 0.225로 문장 임베딩 단독(0.353)의 2/3 수준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K-평균(k=24) 군집을 핵심어·대표사업·예산 상위 사업으로 해석하여 중분류 22개로 명명하고 대분류 8개로 병합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동일 내역사업은 연도별 임베딩 평균의 최근접 군집으로 단일 유형에 배정(123건 조정)하고, 융자·보증 사업에 보정규칙 적용(50건)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일반 어휘만으로 서술된 군집 2개(271건)는 유형화 대상에서 제외. 차순위 유형 군집 중심까지의 거리가 그 군집의 평균 반경 이내인 6건만 저신뢰 배정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군집 안정성과 외부 기준 정합성을 지표로 확인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임의 시드 10회 재군집과의 조정랜드지수(ARI) 평균 0.40, 실루엣 0.058(단문 정책 텍스트의 통상 범위)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복수 연도 내역사업 565개 중 연도별 텍스트만으로 같은 대분류에 배정된 비율 85.1%(중분류 80.7%)</w:t>
      </w:r>
    </w:p>
    <w:p>
      <w:pPr>
        <w:spacing w:after="80" w:before="200" w:line="384"/>
        <w:jc w:val="center"/>
      </w:pPr>
      <w:r>
        <w:rPr>
          <w:rFonts w:ascii="KoPub돋움체" w:cs="KoPub돋움체" w:eastAsia="KoPub돋움체" w:hAnsi="KoPub돋움체"/>
          <w:b/>
          <w:bCs/>
          <w:sz w:val="22"/>
          <w:szCs w:val="22"/>
        </w:rPr>
        <w:t xml:space="preserve">[그림 1] 내역사업 임베딩 2차원 지도(t-SNE): 유형별 분포</w:t>
      </w:r>
    </w:p>
    <w:p>
      <w:pPr>
        <w:spacing w:after="60" w:before="60" w:line="384"/>
        <w:jc w:val="center"/>
      </w:pPr>
      <w:r>
        <w:drawing>
          <wp:inline distT="0" distB="0" distL="0" distR="0">
            <wp:extent cx="59055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60"/>
        <w:ind w:left="20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7"/>
          <w:szCs w:val="17"/>
        </w:rPr>
        <w:t xml:space="preserve">* 주: 1) 결합 임베딩 2,189건을 t-SNE로 2차원 축소, 파란 점은 해당 유형, 회색은 나머지</w:t>
      </w:r>
    </w:p>
    <w:p>
      <w:pPr>
        <w:spacing w:after="160" w:before="0" w:line="260"/>
        <w:ind w:left="20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7"/>
          <w:szCs w:val="17"/>
        </w:rPr>
        <w:t xml:space="preserve">     2) 유형화 제외 사업(265건)은 어느 패널에도 강조되지 않음</w:t>
      </w:r>
    </w:p>
    <w:p>
      <w:pPr>
        <w:pStyle w:val="Heading2"/>
        <w:spacing w:after="160" w:before="280" w:line="384"/>
      </w:pPr>
      <w:r>
        <w:rPr>
          <w:rFonts w:ascii="KoPub바탕체" w:cs="KoPub바탕체" w:eastAsia="KoPub바탕체" w:hAnsi="KoPub바탕체"/>
          <w:b/>
          <w:bCs/>
          <w:color w:val="2F6F7E"/>
          <w:sz w:val="30"/>
          <w:szCs w:val="30"/>
        </w:rPr>
        <w:t xml:space="preserve">나. 유형 체계와 대표 사업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지원목적은 혁신 단계형 3개, 투입요소형 4개, 경영서비스형 1개 등 8개 대분류·22개 중분류로 구조화됨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기술개발과 실증·사업화는 임베딩 공간에서 연속체를 이루어(별개 대분류로 두었을 때 실루엣 0.036, 기술개발 문서의 56%는 차순위 유형이 실증·사업화) 하나의 대분류 안에서 단계로 구분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시설·설비 투자, 융자·보증은 수단이므로 그 목적인 '생산기반 현대화·친환경 전환', '자금조달 지원'으로 명명하고 수단을 괄호에 병기</w:t>
      </w:r>
    </w:p>
    <w:p>
      <w:pPr>
        <w:spacing w:after="80" w:before="200" w:line="384"/>
        <w:jc w:val="center"/>
      </w:pPr>
      <w:r>
        <w:rPr>
          <w:rFonts w:ascii="KoPub돋움체" w:cs="KoPub돋움체" w:eastAsia="KoPub돋움체" w:hAnsi="KoPub돋움체"/>
          <w:b/>
          <w:bCs/>
          <w:sz w:val="22"/>
          <w:szCs w:val="22"/>
        </w:rPr>
        <w:t xml:space="preserve">&lt;표 1&gt; 지원목적 유형 체계와 대표 사업(2026년 예산 기준)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00"/>
      </w:tblGrid>
      <w:tr>
        <w:trPr>
          <w:tblHeader/>
        </w:trPr>
        <w:tc>
          <w:tcPr>
            <w:tcW w:type="dxa" w:w="2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대분류</w:t>
            </w:r>
          </w:p>
        </w:tc>
        <w:tc>
          <w:tcPr>
            <w:tcW w:type="dxa" w:w="4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중분류</w:t>
            </w:r>
          </w:p>
        </w:tc>
        <w:tc>
          <w:tcPr>
            <w:tcW w:type="dxa" w:w="31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대표 사업(소관, 2026년 예산)</w:t>
            </w:r>
          </w:p>
        </w:tc>
      </w:tr>
      <w:tr>
        <w:tc>
          <w:tcPr>
            <w:tcW w:type="dxa" w:w="2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A. 기술혁신 촉진 (개발·실증·사업화)</w:t>
            </w:r>
          </w:p>
        </w:tc>
        <w:tc>
          <w:tcPr>
            <w:tcW w:type="dxa" w:w="4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A1 산업기술 개발(일반 R&amp;D) / A2 원천·핵심기술 개발 / A3 산학연 공동 R&amp;D 수행 / A4 바이오·전략기술 개발·사업화 / A5 모빌리티 기술개발·기반구축 / A6 에너지 기술개발·실증 / A7 산학협력 연구 및 연구인력 양성 / A8 실증·상용화·확산(AI·디지털) / A9 기술사업화·기술이전 촉진</w:t>
            </w:r>
          </w:p>
        </w:tc>
        <w:tc>
          <w:tcPr>
            <w:tcW w:type="dxa" w:w="31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소재부품패키지형(산업부, 9,282억원), 스케일업팁스(중기부, 2,924억원), 제조혁신구축지원(중기부, 3,173억원), 구매연계·상생협력(중기부, 912억원)</w:t>
            </w:r>
          </w:p>
        </w:tc>
      </w:tr>
      <w:tr>
        <w:tc>
          <w:tcPr>
            <w:tcW w:type="dxa" w:w="2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B. 창업·벤처 육성</w:t>
            </w:r>
          </w:p>
        </w:tc>
        <w:tc>
          <w:tcPr>
            <w:tcW w:type="dxa" w:w="4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B1 창업·벤처 육성</w:t>
            </w:r>
          </w:p>
        </w:tc>
        <w:tc>
          <w:tcPr>
            <w:tcW w:type="dxa" w:w="31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TIPS(중기부, 6,684억원), 창업패키지(1,952억원)</w:t>
            </w:r>
          </w:p>
        </w:tc>
      </w:tr>
      <w:tr>
        <w:tc>
          <w:tcPr>
            <w:tcW w:type="dxa" w:w="2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C. 수출·해외진출 촉진</w:t>
            </w:r>
          </w:p>
        </w:tc>
        <w:tc>
          <w:tcPr>
            <w:tcW w:type="dxa" w:w="4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C1 수출 마케팅·수출업체 육성 / C2 해외시장 진출 지원</w:t>
            </w:r>
          </w:p>
        </w:tc>
        <w:tc>
          <w:tcPr>
            <w:tcW w:type="dxa" w:w="31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농식품글로벌육성지원자금 운영(농식품부, 5,000억원), 글로벌선도기술개발(중기부, 2,740억원)</w:t>
            </w:r>
          </w:p>
        </w:tc>
      </w:tr>
      <w:tr>
        <w:tc>
          <w:tcPr>
            <w:tcW w:type="dxa" w:w="2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D. 자금조달 지원 (융자·보증·투자)</w:t>
            </w:r>
          </w:p>
        </w:tc>
        <w:tc>
          <w:tcPr>
            <w:tcW w:type="dxa" w:w="4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D1 정책자금 융자(운전·시설자금) / D2 보증·팩토링 등 신용보강</w:t>
            </w:r>
          </w:p>
        </w:tc>
        <w:tc>
          <w:tcPr>
            <w:tcW w:type="dxa" w:w="31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일반보증 대위변제(금융위, 2조 6,939억원), 특별경영안정자금(중기부, 1조 3,500억원)</w:t>
            </w:r>
          </w:p>
        </w:tc>
      </w:tr>
      <w:tr>
        <w:tc>
          <w:tcPr>
            <w:tcW w:type="dxa" w:w="2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E. 생산기반 현대화·친환경 전환(시설·설비)</w:t>
            </w:r>
          </w:p>
        </w:tc>
        <w:tc>
          <w:tcPr>
            <w:tcW w:type="dxa" w:w="4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E1 생산·가공시설 현대화 및 인증(농식품 등) / E2 환경·에너지 설비 설치(탄소중립·에너지 전환)</w:t>
            </w:r>
          </w:p>
        </w:tc>
        <w:tc>
          <w:tcPr>
            <w:tcW w:type="dxa" w:w="31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생산및시설자금(기후부, 6,480억원), 에너지절약시설설치(2,715억원)</w:t>
            </w:r>
          </w:p>
        </w:tc>
      </w:tr>
      <w:tr>
        <w:tc>
          <w:tcPr>
            <w:tcW w:type="dxa" w:w="2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F. 전문인력 양성·채용 지원</w:t>
            </w:r>
          </w:p>
        </w:tc>
        <w:tc>
          <w:tcPr>
            <w:tcW w:type="dxa" w:w="4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F1 전문인력 양성·채용 지원</w:t>
            </w:r>
          </w:p>
        </w:tc>
        <w:tc>
          <w:tcPr>
            <w:tcW w:type="dxa" w:w="31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제약산업 경쟁력 강화(복지부, 1,194억원)</w:t>
            </w:r>
          </w:p>
        </w:tc>
      </w:tr>
      <w:tr>
        <w:tc>
          <w:tcPr>
            <w:tcW w:type="dxa" w:w="2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G. 고용 창출·유지 및 노동환경 개선</w:t>
            </w:r>
          </w:p>
        </w:tc>
        <w:tc>
          <w:tcPr>
            <w:tcW w:type="dxa" w:w="4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G1 고용 창출·유지(고용장려금) / G2 산업안전·근로자 건강 보호 / G3 재직자·사업주 직업훈련 지원</w:t>
            </w:r>
          </w:p>
        </w:tc>
        <w:tc>
          <w:tcPr>
            <w:tcW w:type="dxa" w:w="31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청년일자리도약장려금(고용부, 9,080억원), 안전동행지원사업(3,320억원), 일반훈련(2,102억원)</w:t>
            </w:r>
          </w:p>
        </w:tc>
      </w:tr>
      <w:tr>
        <w:tc>
          <w:tcPr>
            <w:tcW w:type="dxa" w:w="2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H. 경영역량 강화·사업화 지원(컨설팅·마케팅·디자인)</w:t>
            </w:r>
          </w:p>
        </w:tc>
        <w:tc>
          <w:tcPr>
            <w:tcW w:type="dxa" w:w="42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H1 컨설팅·교육·마케팅 지원 / H2 디자인 혁신 지원</w:t>
            </w:r>
          </w:p>
        </w:tc>
        <w:tc>
          <w:tcPr>
            <w:tcW w:type="dxa" w:w="31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희망리턴패키지(중기부, 3,056억원), 스마트제조지원(980억원)</w:t>
            </w:r>
          </w:p>
        </w:tc>
      </w:tr>
    </w:tbl>
    <w:p>
      <w:pPr>
        <w:spacing w:after="0" w:before="0" w:line="260"/>
        <w:ind w:left="20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7"/>
          <w:szCs w:val="17"/>
        </w:rPr>
        <w:t xml:space="preserve">* 주: 1) 대분류 부호 A~H, 중분류 부호는 대분류 부호+일련번호</w:t>
      </w:r>
    </w:p>
    <w:p>
      <w:pPr>
        <w:spacing w:after="160" w:before="0" w:line="260"/>
        <w:ind w:left="20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7"/>
          <w:szCs w:val="17"/>
        </w:rPr>
        <w:t xml:space="preserve">     2) 대표 사업은 해당 유형의 2026년 내역예산 상위 사업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기존 분류 '기술사업화/이전/지도' 210건 중 90건이 실증·사업화 단계(A8~A9)로 배정되어, 어휘 기반 유형화에서 분리되지 않던 기술사업화·보증·직업훈련·산업안전이 독립 군집으로 식별됨</w:t>
      </w:r>
    </w:p>
    <w:p>
      <w:pPr>
        <w:pStyle w:val="Heading2"/>
        <w:spacing w:after="160" w:before="280" w:line="384"/>
      </w:pPr>
      <w:r>
        <w:rPr>
          <w:rFonts w:ascii="KoPub바탕체" w:cs="KoPub바탕체" w:eastAsia="KoPub바탕체" w:hAnsi="KoPub바탕체"/>
          <w:b/>
          <w:bCs/>
          <w:color w:val="2F6F7E"/>
          <w:sz w:val="30"/>
          <w:szCs w:val="30"/>
        </w:rPr>
        <w:t xml:space="preserve">다. 유형화 제외 사업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목적 서술이 일반 어휘에 그쳐 유형을 특정할 수 없는 사업은 265건(12.1%)이며, 2026년 예산 1.22조원(전체의 4.0%)으로 유형 집계에서 제외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해당 군집은 응집도(자기 중심 거리 대비 타 중심 최소거리)가 0.957로 가장 낮고, 문서의 차순위 유형이 기술혁신·경영역량·수출·생산기반으로 분산되어 의미 군집으로 보기 어려움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2026년 급증은 소상공인경영안정바우처(5,790억원) 신설에 기인하며, 대형 신규 사업의 목적 서술이 포괄적임을 시사</w:t>
      </w:r>
    </w:p>
    <w:p>
      <w:pPr>
        <w:pStyle w:val="ListParagraph"/>
        <w:numPr>
          <w:ilvl w:val="4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2"/>
          <w:szCs w:val="22"/>
        </w:rPr>
        <w:t xml:space="preserve">2026년 상위 사업: 소상공인경영안정바우처(5,790억원), 사업전환촉진(668억원), 공공혁신조달사업 국내실증(624억원), 음악산업 육성(549억원)</w:t>
      </w:r>
    </w:p>
    <w:p>
      <w:pPr>
        <w:spacing w:after="80" w:before="200" w:line="384"/>
        <w:jc w:val="center"/>
      </w:pPr>
      <w:r>
        <w:rPr>
          <w:rFonts w:ascii="KoPub돋움체" w:cs="KoPub돋움체" w:eastAsia="KoPub돋움체" w:hAnsi="KoPub돋움체"/>
          <w:b/>
          <w:bCs/>
          <w:sz w:val="22"/>
          <w:szCs w:val="22"/>
        </w:rPr>
        <w:t xml:space="preserve">&lt;표 2&gt; 유형화 제외 사업 현황</w:t>
      </w:r>
    </w:p>
    <w:p>
      <w:pPr>
        <w:spacing w:after="20" w:before="0" w:line="240"/>
        <w:jc w:val="right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6"/>
          <w:szCs w:val="16"/>
        </w:rPr>
        <w:t xml:space="preserve">(단위: 건, 조원, %)</w:t>
      </w:r>
    </w:p>
    <w:tbl>
      <w:tblPr>
        <w:tblW w:type="dxa" w:w="8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1800"/>
      </w:tblGrid>
      <w:tr>
        <w:trPr>
          <w:tblHeader/>
        </w:trPr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9"/>
                <w:szCs w:val="19"/>
              </w:rPr>
              <w:t xml:space="preserve">구 분</w:t>
            </w:r>
          </w:p>
        </w:tc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9"/>
                <w:szCs w:val="19"/>
              </w:rPr>
              <w:t xml:space="preserve">2024</w:t>
            </w:r>
          </w:p>
        </w:tc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9"/>
                <w:szCs w:val="19"/>
              </w:rPr>
              <w:t xml:space="preserve">2025</w:t>
            </w:r>
          </w:p>
        </w:tc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9"/>
                <w:szCs w:val="19"/>
              </w:rPr>
              <w:t xml:space="preserve">2026</w:t>
            </w:r>
          </w:p>
        </w:tc>
      </w:tr>
      <w:tr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제외 건수(건수 비중)</w:t>
            </w:r>
          </w:p>
        </w:tc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86 (10.8)</w:t>
            </w:r>
          </w:p>
        </w:tc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94 (13.0)</w:t>
            </w:r>
          </w:p>
        </w:tc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85 (12.7)</w:t>
            </w:r>
          </w:p>
        </w:tc>
      </w:tr>
      <w:tr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제외 예산(예산 비중)</w:t>
            </w:r>
          </w:p>
        </w:tc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0.49 (1.7)</w:t>
            </w:r>
          </w:p>
        </w:tc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0.49 (1.7)</w:t>
            </w:r>
          </w:p>
        </w:tc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1.22 (4.0)</w:t>
            </w:r>
          </w:p>
        </w:tc>
      </w:tr>
      <w:tr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전체 내역사업 건수</w:t>
            </w:r>
          </w:p>
        </w:tc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796</w:t>
            </w:r>
          </w:p>
        </w:tc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722</w:t>
            </w:r>
          </w:p>
        </w:tc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671</w:t>
            </w:r>
          </w:p>
        </w:tc>
      </w:tr>
      <w:tr>
        <w:tc>
          <w:tcPr>
            <w:tcW w:type="dxa" w:w="3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전체 내역예산</w:t>
            </w:r>
          </w:p>
        </w:tc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28.71</w:t>
            </w:r>
          </w:p>
        </w:tc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29.32</w:t>
            </w:r>
          </w:p>
        </w:tc>
        <w:tc>
          <w:tcPr>
            <w:tcW w:type="dxa" w:w="1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30.95</w:t>
            </w:r>
          </w:p>
        </w:tc>
      </w:tr>
    </w:tbl>
    <w:p>
      <w:pPr>
        <w:spacing w:after="160" w:before="0" w:line="260"/>
        <w:ind w:left="20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7"/>
          <w:szCs w:val="17"/>
        </w:rPr>
        <w:t xml:space="preserve">* 주: 괄호 안은 전체 내역사업 대비 비중</w:t>
      </w:r>
    </w:p>
    <w:p>
      <w:r>
        <w:br w:type="page"/>
      </w:r>
    </w:p>
    <w:p>
      <w:pPr>
        <w:pStyle w:val="Heading1"/>
        <w:spacing w:after="240" w:before="360" w:line="384"/>
      </w:pPr>
      <w:r>
        <w:rPr>
          <w:rFonts w:ascii="KoPub돋움체" w:cs="KoPub돋움체" w:eastAsia="KoPub돋움체" w:hAnsi="KoPub돋움체"/>
          <w:b/>
          <w:bCs/>
          <w:color w:val="1D6B6B"/>
          <w:sz w:val="40"/>
          <w:szCs w:val="40"/>
        </w:rPr>
        <w:t xml:space="preserve">03  </w:t>
      </w:r>
      <w:r>
        <w:rPr>
          <w:rFonts w:ascii="KoPub돋움체" w:cs="KoPub돋움체" w:eastAsia="KoPub돋움체" w:hAnsi="KoPub돋움체"/>
          <w:b/>
          <w:bCs/>
          <w:sz w:val="40"/>
          <w:szCs w:val="40"/>
        </w:rPr>
        <w:t xml:space="preserve">유형별 지원 규모와 추이</w:t>
      </w:r>
    </w:p>
    <w:p>
      <w:pPr>
        <w:pStyle w:val="Heading2"/>
        <w:spacing w:after="160" w:before="280" w:line="384"/>
      </w:pPr>
      <w:r>
        <w:rPr>
          <w:rFonts w:ascii="KoPub바탕체" w:cs="KoPub바탕체" w:eastAsia="KoPub바탕체" w:hAnsi="KoPub바탕체"/>
          <w:b/>
          <w:bCs/>
          <w:color w:val="2F6F7E"/>
          <w:sz w:val="30"/>
          <w:szCs w:val="30"/>
        </w:rPr>
        <w:t xml:space="preserve">가. 유형별 예산 구조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2026년 유형화 대상 예산 29.73조원 중 자금조달 지원(D)이 48.0%(14.26조원)로 절반에 근접하고, 기술혁신 촉진(A) 19.2%, 고용·노동환경(G) 9.4%, 수출·해외진출(C) 7.4% 순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창업·벤처 육성 5.8%(1.72조원), 생산기반·친환경 전환 5.7%(1.68조원), 경영역량 강화 3.5%(1.03조원), 전문인력 양성·채용 1.1%(0.32조원)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역량형 지원(F+H)은 4.6%에 불과하여 자금 공급 중심의 포트폴리오 구조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건수 기준으로는 기술혁신 촉진이 239건(40.8%)으로 가장 많아, 소액 다수의 R&amp;D 내역사업과 거액 소수의 자금조달 사업이 대비됨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2026년 유형별 건당 평균 예산(억원): 자금조달 2,377 &gt; 고용·노동환경 638 &gt; 생산기반·친환경 443 &gt; 창업·벤처 325 &gt; 수출·해외진출 264 &gt; 기술혁신 239 &gt; 경영역량 202 &gt; 전문인력 180</w:t>
      </w:r>
    </w:p>
    <w:p>
      <w:pPr>
        <w:spacing w:after="80" w:before="200" w:line="384"/>
        <w:jc w:val="center"/>
      </w:pPr>
      <w:r>
        <w:rPr>
          <w:rFonts w:ascii="KoPub돋움체" w:cs="KoPub돋움체" w:eastAsia="KoPub돋움체" w:hAnsi="KoPub돋움체"/>
          <w:b/>
          <w:bCs/>
          <w:sz w:val="22"/>
          <w:szCs w:val="22"/>
        </w:rPr>
        <w:t xml:space="preserve">&lt;표 3&gt; 지원목적 유형별 내역사업 건수·예산</w:t>
      </w:r>
    </w:p>
    <w:p>
      <w:pPr>
        <w:spacing w:after="20" w:before="0" w:line="240"/>
        <w:jc w:val="right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6"/>
          <w:szCs w:val="16"/>
        </w:rPr>
        <w:t xml:space="preserve">(단위: 건, 조원, %)</w:t>
      </w:r>
    </w:p>
    <w:tbl>
      <w:tblPr>
        <w:tblW w:type="dxa" w:w="87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"/>
        <w:gridCol w:w="650"/>
        <w:gridCol w:w="650"/>
        <w:gridCol w:w="800"/>
        <w:gridCol w:w="750"/>
        <w:gridCol w:w="750"/>
        <w:gridCol w:w="1000"/>
        <w:gridCol w:w="800"/>
      </w:tblGrid>
      <w:tr>
        <w:trPr>
          <w:tblHeader/>
        </w:trPr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대분류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건수 '24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'25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'26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예산 '24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'25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'26</w:t>
            </w:r>
          </w:p>
        </w:tc>
        <w:tc>
          <w:tcPr>
            <w:tcW w:type="dxa" w:w="1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증감률 '24→'26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'26 비중</w:t>
            </w:r>
          </w:p>
        </w:tc>
      </w:tr>
      <w:tr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A. 기술혁신 촉진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373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300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239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5.10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5.01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5.72</w:t>
            </w:r>
          </w:p>
        </w:tc>
        <w:tc>
          <w:tcPr>
            <w:tcW w:type="dxa" w:w="1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12.2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19.2</w:t>
            </w:r>
          </w:p>
        </w:tc>
      </w:tr>
      <w:tr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B. 창업·벤처 육성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57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47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53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1.40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1.54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1.72</w:t>
            </w:r>
          </w:p>
        </w:tc>
        <w:tc>
          <w:tcPr>
            <w:tcW w:type="dxa" w:w="1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22.9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5.8</w:t>
            </w:r>
          </w:p>
        </w:tc>
      </w:tr>
      <w:tr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C. 수출·해외진출 촉진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70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63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83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1.44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1.36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2.19</w:t>
            </w:r>
          </w:p>
        </w:tc>
        <w:tc>
          <w:tcPr>
            <w:tcW w:type="dxa" w:w="1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52.1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7.4</w:t>
            </w:r>
          </w:p>
        </w:tc>
      </w:tr>
      <w:tr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D. 자금조달 지원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59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60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60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15.07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15.90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14.26</w:t>
            </w:r>
          </w:p>
        </w:tc>
        <w:tc>
          <w:tcPr>
            <w:tcW w:type="dxa" w:w="1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△5.4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48.0</w:t>
            </w:r>
          </w:p>
        </w:tc>
      </w:tr>
      <w:tr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E. 생산기반 현대화·친환경 전환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37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38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1.12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1.15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1.68</w:t>
            </w:r>
          </w:p>
        </w:tc>
        <w:tc>
          <w:tcPr>
            <w:tcW w:type="dxa" w:w="1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50.6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5.7</w:t>
            </w:r>
          </w:p>
        </w:tc>
      </w:tr>
      <w:tr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F. 전문인력 양성·채용 지원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0.37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0.28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0.32</w:t>
            </w:r>
          </w:p>
        </w:tc>
        <w:tc>
          <w:tcPr>
            <w:tcW w:type="dxa" w:w="1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△11.4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1.1</w:t>
            </w:r>
          </w:p>
        </w:tc>
      </w:tr>
      <w:tr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G. 고용 창출·유지 및 노동환경 개선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45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44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2.80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2.56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2.81</w:t>
            </w:r>
          </w:p>
        </w:tc>
        <w:tc>
          <w:tcPr>
            <w:tcW w:type="dxa" w:w="1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0.3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9.4</w:t>
            </w:r>
          </w:p>
        </w:tc>
      </w:tr>
      <w:tr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H. 경영역량 강화·사업화 지원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54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51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0.94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1.02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1.03</w:t>
            </w:r>
          </w:p>
        </w:tc>
        <w:tc>
          <w:tcPr>
            <w:tcW w:type="dxa" w:w="1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9.4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3.5</w:t>
            </w:r>
          </w:p>
        </w:tc>
      </w:tr>
      <w:tr>
        <w:tc>
          <w:tcPr>
            <w:tcW w:type="dxa" w:w="2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유형화 대상 합계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710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628</w:t>
            </w:r>
          </w:p>
        </w:tc>
        <w:tc>
          <w:tcPr>
            <w:tcW w:type="dxa" w:w="6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586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28.22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28.83</w:t>
            </w:r>
          </w:p>
        </w:tc>
        <w:tc>
          <w:tcPr>
            <w:tcW w:type="dxa" w:w="75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29.73</w:t>
            </w:r>
          </w:p>
        </w:tc>
        <w:tc>
          <w:tcPr>
            <w:tcW w:type="dxa" w:w="10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5.4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100.0</w:t>
            </w:r>
          </w:p>
        </w:tc>
      </w:tr>
    </w:tbl>
    <w:p>
      <w:pPr>
        <w:spacing w:after="0" w:before="0" w:line="260"/>
        <w:ind w:left="20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7"/>
          <w:szCs w:val="17"/>
        </w:rPr>
        <w:t xml:space="preserve">* 주: 1) 내역예산 합계이며 유형화 제외 사업(목적 서술 불충분)은 제외</w:t>
      </w:r>
    </w:p>
    <w:p>
      <w:pPr>
        <w:spacing w:after="160" w:before="0" w:line="260"/>
        <w:ind w:left="20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7"/>
          <w:szCs w:val="17"/>
        </w:rPr>
        <w:t xml:space="preserve">     2) 비중은 유형화 대상 예산 대비, 증감률은 2024년 대비 2026년</w:t>
      </w:r>
    </w:p>
    <w:p>
      <w:pPr>
        <w:spacing w:after="80" w:before="200" w:line="384"/>
        <w:jc w:val="center"/>
      </w:pPr>
      <w:r>
        <w:rPr>
          <w:rFonts w:ascii="KoPub돋움체" w:cs="KoPub돋움체" w:eastAsia="KoPub돋움체" w:hAnsi="KoPub돋움체"/>
          <w:b/>
          <w:bCs/>
          <w:sz w:val="22"/>
          <w:szCs w:val="22"/>
        </w:rPr>
        <w:t xml:space="preserve">[그림 2] 지원목적 유형별 내역사업 예산('24~'26)</w:t>
      </w:r>
    </w:p>
    <w:p>
      <w:pPr>
        <w:spacing w:after="60" w:before="60" w:line="384"/>
        <w:jc w:val="center"/>
      </w:pPr>
      <w:r>
        <w:drawing>
          <wp:inline distT="0" distB="0" distL="0" distR="0">
            <wp:extent cx="53340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60"/>
        <w:ind w:left="20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7"/>
          <w:szCs w:val="17"/>
        </w:rPr>
        <w:t xml:space="preserve">* 주: 값 표시는 2026년, 유형화 제외 사업 265건은 제외</w:t>
      </w:r>
    </w:p>
    <w:p>
      <w:pPr>
        <w:pStyle w:val="Heading2"/>
        <w:spacing w:after="160" w:before="280" w:line="384"/>
      </w:pPr>
      <w:r>
        <w:rPr>
          <w:rFonts w:ascii="KoPub바탕체" w:cs="KoPub바탕체" w:eastAsia="KoPub바탕체" w:hAnsi="KoPub바탕체"/>
          <w:b/>
          <w:bCs/>
          <w:color w:val="2F6F7E"/>
          <w:sz w:val="30"/>
          <w:szCs w:val="30"/>
        </w:rPr>
        <w:t xml:space="preserve">나. 2024~2026년 추이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시장진출·실증·사업화·설비 전환 지원이 빠르게 확대되고, 원천기술·인력양성 지원은 축소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해외시장 진출(C2) 0.10조원 → 0.52조원(+404.1%): 글로벌선도기술개발(2,740억원)·글로벌팁스 등 R&amp;D 사업의 글로벌 지향 재편 포함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기술사업화·기술이전 촉진(A9) 0.11조원 → 0.30조원(+163.2%), 실증·상용화·확산(A8) 0.79조원 → 1.09조원(+38.7%): 제조혁신구축지원·AI 응용제품 상용화 확대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환경·에너지 설비 설치(E2) 0.75조원 → 1.29조원(+73.4%): 신재생에너지 생산·시설자금(6,480억원) 확대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원천·핵심기술 개발(A2) 0.41조원 → 0.28조원(△29.9%), 건수 76건 → 25건; 전문인력 양성·채용(F1) 0.37조원 → 0.32조원(△11.4%); 고용 창출·유지(G1) 1.69조원 → 1.53조원(△9.6%)</w:t>
      </w:r>
    </w:p>
    <w:p>
      <w:pPr>
        <w:pStyle w:val="ListParagraph"/>
        <w:numPr>
          <w:ilvl w:val="4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2"/>
          <w:szCs w:val="22"/>
        </w:rPr>
        <w:t xml:space="preserve">내역사업 건수는 796건('24) → 671건('26)으로 감소했으며, 특히 기술혁신 촉진이 373건 → 239건으로 줄어 예산서상 내역 통합의 영향이 큼. 건수 추이는 예산 추이와 분리하여 해석할 필요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기술혁신 촉진 예산 내 실증·상용화·사업화 단계(A8~A9)의 비중은 17.7%('24)에서 24.3%('26)로 6.6%p 상승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기술개발 단계(A1~A7) 예산은 4.20조원 → 4.33조원으로 정체된 반면, 실증·사업화 단계는 0.90조원 → 1.39조원으로 54.7% 증가</w:t>
      </w:r>
    </w:p>
    <w:p>
      <w:pPr>
        <w:spacing w:after="80" w:before="200" w:line="384"/>
        <w:jc w:val="center"/>
      </w:pPr>
      <w:r>
        <w:rPr>
          <w:rFonts w:ascii="KoPub돋움체" w:cs="KoPub돋움체" w:eastAsia="KoPub돋움체" w:hAnsi="KoPub돋움체"/>
          <w:b/>
          <w:bCs/>
          <w:sz w:val="22"/>
          <w:szCs w:val="22"/>
        </w:rPr>
        <w:t xml:space="preserve">[그림 3] 기술혁신 촉진 예산의 단계별 구성 추이</w:t>
      </w:r>
    </w:p>
    <w:p>
      <w:pPr>
        <w:spacing w:after="60" w:before="60" w:line="384"/>
        <w:jc w:val="center"/>
      </w:pPr>
      <w:r>
        <w:drawing>
          <wp:inline distT="0" distB="0" distL="0" distR="0">
            <wp:extent cx="4762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60"/>
        <w:ind w:left="20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7"/>
          <w:szCs w:val="17"/>
        </w:rPr>
        <w:t xml:space="preserve">* 주: 괄호 안은 기술혁신 촉진 예산 대비 실증·상용화·사업화 단계 비중(%)</w:t>
      </w:r>
    </w:p>
    <w:p>
      <w:pPr>
        <w:pStyle w:val="Heading2"/>
        <w:spacing w:after="160" w:before="280" w:line="384"/>
      </w:pPr>
      <w:r>
        <w:rPr>
          <w:rFonts w:ascii="KoPub바탕체" w:cs="KoPub바탕체" w:eastAsia="KoPub바탕체" w:hAnsi="KoPub바탕체"/>
          <w:b/>
          <w:bCs/>
          <w:color w:val="2F6F7E"/>
          <w:sz w:val="30"/>
          <w:szCs w:val="30"/>
        </w:rPr>
        <w:t xml:space="preserve">다. 지원형태와의 관계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지원목적(유형)과 지원형태(출연·보조·직접·융자)는 독립적인 두 축이며, 같은 융자라도 목적에 따라 자금조달·수출·생산기반·창업으로 나뉨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출연 방식 사업의 대다수가 기술혁신 촉진이고, 융자 방식은 대부분 자금조달 지원이나 수출·생산기반·창업 목적 융자도 존재</w:t>
      </w:r>
    </w:p>
    <w:p>
      <w:pPr>
        <w:pStyle w:val="ListParagraph"/>
        <w:numPr>
          <w:ilvl w:val="3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2"/>
          <w:szCs w:val="22"/>
        </w:rPr>
        <w:t xml:space="preserve">창업기반지원(융자, 1조 3,058억원)은 운전자금 성격이 강해 자금조달(D1)에, 농식품글로벌육성지원자금 운영(융자, 5,000억원)은 수출업체 육성(C1)에, 신재생에너지 생산및시설자금(융자, 6,480억원)은 에너지 전환 설비(E2)에 배정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현행 '지원분야' 분류는 '융자(운전)', '융자(시설)' 등 수단 항목과 '시장개척', '사업화지원' 등 목적 항목이 한 축에 혼재하여 비교 가능성을 떨어뜨림</w:t>
      </w:r>
    </w:p>
    <w:p>
      <w:r>
        <w:br w:type="page"/>
      </w:r>
    </w:p>
    <w:p>
      <w:pPr>
        <w:pStyle w:val="Heading1"/>
        <w:spacing w:after="240" w:before="360" w:line="384"/>
      </w:pPr>
      <w:r>
        <w:rPr>
          <w:rFonts w:ascii="KoPub돋움체" w:cs="KoPub돋움체" w:eastAsia="KoPub돋움체" w:hAnsi="KoPub돋움체"/>
          <w:b/>
          <w:bCs/>
          <w:color w:val="1D6B6B"/>
          <w:sz w:val="40"/>
          <w:szCs w:val="40"/>
        </w:rPr>
        <w:t xml:space="preserve">04  </w:t>
      </w:r>
      <w:r>
        <w:rPr>
          <w:rFonts w:ascii="KoPub돋움체" w:cs="KoPub돋움체" w:eastAsia="KoPub돋움체" w:hAnsi="KoPub돋움체"/>
          <w:b/>
          <w:bCs/>
          <w:sz w:val="40"/>
          <w:szCs w:val="40"/>
        </w:rPr>
        <w:t xml:space="preserve">소관별 구조와 기존 분류체계 비교</w:t>
      </w:r>
    </w:p>
    <w:p>
      <w:pPr>
        <w:pStyle w:val="Heading2"/>
        <w:spacing w:after="160" w:before="280" w:line="384"/>
      </w:pPr>
      <w:r>
        <w:rPr>
          <w:rFonts w:ascii="KoPub바탕체" w:cs="KoPub바탕체" w:eastAsia="KoPub바탕체" w:hAnsi="KoPub바탕체"/>
          <w:b/>
          <w:bCs/>
          <w:color w:val="2F6F7E"/>
          <w:sz w:val="30"/>
          <w:szCs w:val="30"/>
        </w:rPr>
        <w:t xml:space="preserve">가. 소관별 지원목적 구조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소관별 지원목적 구성은 뚜렷이 특화되어 있으며, 기술혁신 촉진은 15개, 창업·벤처 육성과 수출·해외진출 촉진은 각 12개 소관이 운영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중소벤처기업부(13.36조원): 자금조달 지원 7.93조원(59.3%) &gt; 기술혁신 1.59조원 &gt; 창업·벤처 1.49조원 &gt; 경영역량 0.85조원 &gt; 수출 0.60조원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산업통상부(3.50조원): 기술혁신 2.41조원(69.1%); 고용노동부(3.39조원): 고용·노동환경 2.75조원(80.9%); 기후에너지환경부(2.60조원): 생산기반·친환경 전환 1.44조원(55.4%)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금융위원회(3.66조원)는 전액 자금조달 지원(보증 대위변제·팩토링), 과학기술정보통신부(0.85조원)는 기술혁신 0.69조원(81.6%)</w:t>
      </w:r>
    </w:p>
    <w:p>
      <w:pPr>
        <w:spacing w:after="80" w:before="200" w:line="384"/>
        <w:jc w:val="center"/>
      </w:pPr>
      <w:r>
        <w:rPr>
          <w:rFonts w:ascii="KoPub돋움체" w:cs="KoPub돋움체" w:eastAsia="KoPub돋움체" w:hAnsi="KoPub돋움체"/>
          <w:b/>
          <w:bCs/>
          <w:sz w:val="22"/>
          <w:szCs w:val="22"/>
        </w:rPr>
        <w:t xml:space="preserve">&lt;표 4&gt; 소관별 지원목적 유형 구성(2026년, 상위 8개 소관)</w:t>
      </w:r>
    </w:p>
    <w:p>
      <w:pPr>
        <w:spacing w:after="20" w:before="0" w:line="240"/>
        <w:jc w:val="right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6"/>
          <w:szCs w:val="16"/>
        </w:rPr>
        <w:t xml:space="preserve">(단위: 조원)</w:t>
      </w:r>
    </w:p>
    <w:tbl>
      <w:tblPr>
        <w:tblW w:type="dxa" w:w="8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00"/>
        <w:gridCol w:w="700"/>
        <w:gridCol w:w="700"/>
        <w:gridCol w:w="700"/>
        <w:gridCol w:w="700"/>
        <w:gridCol w:w="700"/>
        <w:gridCol w:w="700"/>
        <w:gridCol w:w="700"/>
        <w:gridCol w:w="800"/>
      </w:tblGrid>
      <w:tr>
        <w:trPr>
          <w:tblHeader/>
        </w:trPr>
        <w:tc>
          <w:tcPr>
            <w:tcW w:type="dxa" w:w="1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소관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A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B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C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D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E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F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G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H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합계</w:t>
            </w:r>
          </w:p>
        </w:tc>
      </w:tr>
      <w:tr>
        <w:tc>
          <w:tcPr>
            <w:tcW w:type="dxa" w:w="1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중소벤처기업부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1.59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1.49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0.60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7.93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0.09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0.04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0.85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13.36</w:t>
            </w:r>
          </w:p>
        </w:tc>
      </w:tr>
      <w:tr>
        <w:tc>
          <w:tcPr>
            <w:tcW w:type="dxa" w:w="1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금융위원회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3.65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0.01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3.66</w:t>
            </w:r>
          </w:p>
        </w:tc>
      </w:tr>
      <w:tr>
        <w:tc>
          <w:tcPr>
            <w:tcW w:type="dxa" w:w="1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산업통상부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2.41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0.01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0.42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0.52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0.01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0.08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3.50</w:t>
            </w:r>
          </w:p>
        </w:tc>
      </w:tr>
      <w:tr>
        <w:tc>
          <w:tcPr>
            <w:tcW w:type="dxa" w:w="1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고용노동부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0.03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0.55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2.75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0.04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3.39</w:t>
            </w:r>
          </w:p>
        </w:tc>
      </w:tr>
      <w:tr>
        <w:tc>
          <w:tcPr>
            <w:tcW w:type="dxa" w:w="1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기후에너지환경부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0.62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0.03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0.11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0.31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1.44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0.01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0.04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2.60</w:t>
            </w:r>
          </w:p>
        </w:tc>
      </w:tr>
      <w:tr>
        <w:tc>
          <w:tcPr>
            <w:tcW w:type="dxa" w:w="1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문화체육관광부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0.06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0.07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0.18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0.95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0.03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1.43</w:t>
            </w:r>
          </w:p>
        </w:tc>
      </w:tr>
      <w:tr>
        <w:tc>
          <w:tcPr>
            <w:tcW w:type="dxa" w:w="1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농림축산식품부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0.10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0.03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0.65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0.30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0.09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1.19</w:t>
            </w:r>
          </w:p>
        </w:tc>
      </w:tr>
      <w:tr>
        <w:tc>
          <w:tcPr>
            <w:tcW w:type="dxa" w:w="19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과학기술정보통신부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0.69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0.03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0.05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0.01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0.04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0.85</w:t>
            </w:r>
          </w:p>
        </w:tc>
      </w:tr>
    </w:tbl>
    <w:p>
      <w:pPr>
        <w:spacing w:after="0" w:before="0" w:line="260"/>
        <w:ind w:left="20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7"/>
          <w:szCs w:val="17"/>
        </w:rPr>
        <w:t xml:space="preserve">* 주: 1) A 기술혁신 촉진, B 창업·벤처 육성, C 수출·해외진출 촉진, D 자금조달 지원, E 생산기반 현대화·친환경 전환, F 전문인력 양성·채용 지원, G 고용 창출·유지 및 노동환경 개선, H 경영역량 강화·사업화 지원</w:t>
      </w:r>
    </w:p>
    <w:p>
      <w:pPr>
        <w:spacing w:after="160" w:before="0" w:line="260"/>
        <w:ind w:left="20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7"/>
          <w:szCs w:val="17"/>
        </w:rPr>
        <w:t xml:space="preserve">     2) 합계는 유형화 제외 사업을 포함한 소관 내역예산 합계이며, 유형 합과 차이는 유형화 제외분</w:t>
      </w:r>
    </w:p>
    <w:p>
      <w:pPr>
        <w:spacing w:after="80" w:before="200" w:line="384"/>
        <w:jc w:val="center"/>
      </w:pPr>
      <w:r>
        <w:rPr>
          <w:rFonts w:ascii="KoPub돋움체" w:cs="KoPub돋움체" w:eastAsia="KoPub돋움체" w:hAnsi="KoPub돋움체"/>
          <w:b/>
          <w:bCs/>
          <w:sz w:val="22"/>
          <w:szCs w:val="22"/>
        </w:rPr>
        <w:t xml:space="preserve">[그림 4] 소관 × 지원목적 유형별 2026년 내역사업 예산</w:t>
      </w:r>
    </w:p>
    <w:p>
      <w:pPr>
        <w:spacing w:after="60" w:before="60" w:line="384"/>
        <w:jc w:val="center"/>
      </w:pPr>
      <w:r>
        <w:drawing>
          <wp:inline distT="0" distB="0" distL="0" distR="0">
            <wp:extent cx="5143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동일 목적 유형 안에서 여러 부처가 유사한 구조의 사업을 병렬 운영하는 영역이 확인되어, 유형 기반 유사·중복 검토의 실익이 큼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실증·상용화·확산(A8): 중기부 AI 응용제품 신속 상용화, 과기부 AI반도체 실증지원, 농식품부·기후부·해수부·식약처·복지부의 AI 응용제품 신속 상용화 지원사업이 동일 구조로 운영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수출 마케팅(C1): 중기부 수출바우처, 산업부 통합지원사업, 농식품부 우수농식품판로개척, 문체부 게임기업 육성이 전시·상담회·바이어 매칭을 공통 지원</w:t>
      </w:r>
    </w:p>
    <w:p>
      <w:pPr>
        <w:pStyle w:val="Heading2"/>
        <w:spacing w:after="160" w:before="280" w:line="384"/>
      </w:pPr>
      <w:r>
        <w:rPr>
          <w:rFonts w:ascii="KoPub바탕체" w:cs="KoPub바탕체" w:eastAsia="KoPub바탕체" w:hAnsi="KoPub바탕체"/>
          <w:b/>
          <w:bCs/>
          <w:color w:val="2F6F7E"/>
          <w:sz w:val="30"/>
          <w:szCs w:val="30"/>
        </w:rPr>
        <w:t xml:space="preserve">나. 기존 분류체계와의 비교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기존 지원분야 중분류의 포괄 항목이 지원목적 기준으로 세분되었고, 결측 787건 중 699건이 유형에 배정됨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'혼합(단독+공동)' 331건 중 293건(88.5%)은 기술혁신 촉진으로 일관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'기술사업화/이전/지도' 210건은 기술혁신 154건(기술개발 64건, 실증·사업화 90건), 유형화 제외 20건, 수출 15건으로 나뉘어 단일 목적 범주로 보기 어려움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'디자인/상품화/사업화' 147건은 경영역량 강화 47건, 유형화 제외 31건, 수출 16건, 기술혁신 15건 등으로 분산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목적이 명확한 항목은 높은 일치: 사업화지원 55건 중 42건이 창업·벤처, 융자(운전) 39건 중 35건이 자금조달, 시장개척 45건 중 33건이 수출·해외진출로 배정</w:t>
      </w:r>
    </w:p>
    <w:p>
      <w:pPr>
        <w:spacing w:after="80" w:before="200" w:line="384"/>
        <w:jc w:val="center"/>
      </w:pPr>
      <w:r>
        <w:rPr>
          <w:rFonts w:ascii="KoPub돋움체" w:cs="KoPub돋움체" w:eastAsia="KoPub돋움체" w:hAnsi="KoPub돋움체"/>
          <w:b/>
          <w:bCs/>
          <w:sz w:val="22"/>
          <w:szCs w:val="22"/>
        </w:rPr>
        <w:t xml:space="preserve">&lt;표 5&gt; 기존 지원분야 중분류와 지원목적 유형의 교차</w:t>
      </w:r>
    </w:p>
    <w:p>
      <w:pPr>
        <w:spacing w:after="20" w:before="0" w:line="240"/>
        <w:jc w:val="right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6"/>
          <w:szCs w:val="16"/>
        </w:rPr>
        <w:t xml:space="preserve">(단위: 건)</w:t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00"/>
        <w:gridCol w:w="600"/>
        <w:gridCol w:w="600"/>
        <w:gridCol w:w="600"/>
        <w:gridCol w:w="600"/>
        <w:gridCol w:w="600"/>
        <w:gridCol w:w="600"/>
        <w:gridCol w:w="600"/>
        <w:gridCol w:w="700"/>
        <w:gridCol w:w="800"/>
      </w:tblGrid>
      <w:tr>
        <w:trPr>
          <w:tblHeader/>
        </w:trP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기존 지원분야 중분류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A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B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C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D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E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F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G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H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제외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7"/>
                <w:szCs w:val="17"/>
              </w:rPr>
              <w:t xml:space="preserve">합계</w:t>
            </w:r>
          </w:p>
        </w:tc>
      </w:tr>
      <w:t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(결측)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362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56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68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59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38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46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54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88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787</w:t>
            </w:r>
          </w:p>
        </w:tc>
      </w:tr>
      <w:t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혼합(단독+공동)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293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331</w:t>
            </w:r>
          </w:p>
        </w:tc>
      </w:tr>
      <w:t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기술사업화/이전/지도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154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210</w:t>
            </w:r>
          </w:p>
        </w:tc>
      </w:tr>
      <w:t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디자인/상품화/사업화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47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31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147</w:t>
            </w:r>
          </w:p>
        </w:tc>
      </w:tr>
      <w:t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사업화지원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42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55</w:t>
            </w:r>
          </w:p>
        </w:tc>
      </w:tr>
      <w:t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시장개척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45</w:t>
            </w:r>
          </w:p>
        </w:tc>
      </w:tr>
      <w:t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융자(운전)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39</w:t>
            </w:r>
          </w:p>
        </w:tc>
      </w:tr>
      <w:tr>
        <w:tc>
          <w:tcPr>
            <w:tcW w:type="dxa" w:w="23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교육/훈련/연수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6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7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7"/>
                <w:szCs w:val="17"/>
              </w:rPr>
              <w:t xml:space="preserve">41</w:t>
            </w:r>
          </w:p>
        </w:tc>
      </w:tr>
    </w:tbl>
    <w:p>
      <w:pPr>
        <w:spacing w:after="160" w:before="0" w:line="260"/>
        <w:ind w:left="20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7"/>
          <w:szCs w:val="17"/>
        </w:rPr>
        <w:t xml:space="preserve">* 주: 기존 분류 건수 상위 항목만 표시. '제외'는 유형화 제외(목적 서술 불충분)</w:t>
      </w:r>
    </w:p>
    <w:p>
      <w:pPr>
        <w:pStyle w:val="Heading2"/>
        <w:spacing w:after="160" w:before="280" w:line="384"/>
      </w:pPr>
      <w:r>
        <w:rPr>
          <w:rFonts w:ascii="KoPub바탕체" w:cs="KoPub바탕체" w:eastAsia="KoPub바탕체" w:hAnsi="KoPub바탕체"/>
          <w:b/>
          <w:bCs/>
          <w:color w:val="2F6F7E"/>
          <w:sz w:val="30"/>
          <w:szCs w:val="30"/>
        </w:rPr>
        <w:t xml:space="preserve">다. 분석 방법 간 교차 검증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동일 절차를 어휘 임베딩(형태소 TF-IDF·LSA)만으로 수행한 결과와 비교하면 대분류 배정이 74.4% 일치하고, 유형별 예산 비중 차이는 최대 2.9%p로 주요 결론이 유지됨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문장 임베딩 결합이 연도 간 대분류 일치율(85.1% 대 82.3%)과 기존 분류 정합성(NMI 0.409 대 0.379)에서 우위이며, 유형화 제외도 265건(12.1%) 대 352건(16.1%)으로 적음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문장 임베딩은 신재생에너지 생산및시설자금(6,480억원)을 에너지 전환 설비로, 희망리턴패키지(3,056억원)를 경영역량 강화로 배정하는 등 사업명보다 서술 내용을 반영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두 방식 모두 자금조달 편중(48~52%), 실증·사업화 및 해외진출 급증, 원천기술·인력양성 축소라는 추이를 동일하게 도출</w:t>
      </w:r>
    </w:p>
    <w:p>
      <w:pPr>
        <w:spacing w:after="80" w:before="200" w:line="384"/>
        <w:jc w:val="center"/>
      </w:pPr>
      <w:r>
        <w:rPr>
          <w:rFonts w:ascii="KoPub돋움체" w:cs="KoPub돋움체" w:eastAsia="KoPub돋움체" w:hAnsi="KoPub돋움체"/>
          <w:b/>
          <w:bCs/>
          <w:sz w:val="22"/>
          <w:szCs w:val="22"/>
        </w:rPr>
        <w:t xml:space="preserve">&lt;표 6&gt; 임베딩 방식별 유형화 품질 지표</w:t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2400"/>
      </w:tblGrid>
      <w:tr>
        <w:trPr>
          <w:tblHeader/>
        </w:trPr>
        <w:tc>
          <w:tcPr>
            <w:tcW w:type="dxa" w:w="3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9"/>
                <w:szCs w:val="19"/>
              </w:rPr>
              <w:t xml:space="preserve">지 표</w:t>
            </w:r>
          </w:p>
        </w:tc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9"/>
                <w:szCs w:val="19"/>
              </w:rPr>
              <w:t xml:space="preserve">문장 임베딩 결합(본 결과)</w:t>
            </w:r>
          </w:p>
        </w:tc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2F6F7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/>
                <w:bCs/>
                <w:color w:val="FFFFFF"/>
                <w:sz w:val="19"/>
                <w:szCs w:val="19"/>
              </w:rPr>
              <w:t xml:space="preserve">어휘 임베딩 단독(LSA)</w:t>
            </w:r>
          </w:p>
        </w:tc>
      </w:tr>
      <w:tr>
        <w:tc>
          <w:tcPr>
            <w:tcW w:type="dxa" w:w="3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연도 간 대분류 일치율(%)</w:t>
            </w:r>
          </w:p>
        </w:tc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85.1</w:t>
            </w:r>
          </w:p>
        </w:tc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82.3</w:t>
            </w:r>
          </w:p>
        </w:tc>
      </w:tr>
      <w:tr>
        <w:tc>
          <w:tcPr>
            <w:tcW w:type="dxa" w:w="3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연도 간 중분류 일치율(%)</w:t>
            </w:r>
          </w:p>
        </w:tc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80.7</w:t>
            </w:r>
          </w:p>
        </w:tc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76.8</w:t>
            </w:r>
          </w:p>
        </w:tc>
      </w:tr>
      <w:tr>
        <w:tc>
          <w:tcPr>
            <w:tcW w:type="dxa" w:w="3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기존 지원분야 분류와의 NMI</w:t>
            </w:r>
          </w:p>
        </w:tc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0.409</w:t>
            </w:r>
          </w:p>
        </w:tc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0.379</w:t>
            </w:r>
          </w:p>
        </w:tc>
      </w:tr>
      <w:tr>
        <w:tc>
          <w:tcPr>
            <w:tcW w:type="dxa" w:w="3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소관과의 NMI(낮을수록 산업영역 의존 작음)</w:t>
            </w:r>
          </w:p>
        </w:tc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0.232</w:t>
            </w:r>
          </w:p>
        </w:tc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0.207</w:t>
            </w:r>
          </w:p>
        </w:tc>
      </w:tr>
      <w:tr>
        <w:tc>
          <w:tcPr>
            <w:tcW w:type="dxa" w:w="3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시드 간 ARI(평균)</w:t>
            </w:r>
          </w:p>
        </w:tc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0.40</w:t>
            </w:r>
          </w:p>
        </w:tc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0.41</w:t>
            </w:r>
          </w:p>
        </w:tc>
      </w:tr>
      <w:tr>
        <w:tc>
          <w:tcPr>
            <w:tcW w:type="dxa" w:w="3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실루엣</w:t>
            </w:r>
          </w:p>
        </w:tc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0.058</w:t>
            </w:r>
          </w:p>
        </w:tc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0.075</w:t>
            </w:r>
          </w:p>
        </w:tc>
      </w:tr>
      <w:tr>
        <w:tc>
          <w:tcPr>
            <w:tcW w:type="dxa" w:w="38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shd w:fill="E8F3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유형화 제외 건수(비중, %)</w:t>
            </w:r>
          </w:p>
        </w:tc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265 (12.1)</w:t>
            </w:r>
          </w:p>
        </w:tc>
        <w:tc>
          <w:tcPr>
            <w:tcW w:type="dxa" w:w="2400"/>
            <w:tcBorders>
              <w:top w:val="single" w:color="9AA8A6" w:sz="4"/>
              <w:left w:val="single" w:color="9AA8A6" w:sz="4"/>
              <w:bottom w:val="single" w:color="9AA8A6" w:sz="4"/>
              <w:right w:val="single" w:color="9AA8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KoPub돋움체" w:cs="KoPub돋움체" w:eastAsia="KoPub돋움체" w:hAnsi="KoPub돋움체"/>
                <w:b w:val="false"/>
                <w:bCs w:val="false"/>
                <w:sz w:val="19"/>
                <w:szCs w:val="19"/>
              </w:rPr>
              <w:t xml:space="preserve">352 (16.1)</w:t>
            </w:r>
          </w:p>
        </w:tc>
      </w:tr>
    </w:tbl>
    <w:p>
      <w:pPr>
        <w:spacing w:after="160" w:before="0" w:line="260"/>
        <w:ind w:left="200"/>
      </w:pPr>
      <w:r>
        <w:rPr>
          <w:rFonts w:ascii="KoPub돋움체" w:cs="KoPub돋움체" w:eastAsia="KoPub돋움체" w:hAnsi="KoPub돋움체"/>
          <w:b w:val="false"/>
          <w:bCs w:val="false"/>
          <w:color w:val="444444"/>
          <w:sz w:val="17"/>
          <w:szCs w:val="17"/>
        </w:rPr>
        <w:t xml:space="preserve">* 주: NMI는 정규화 상호정보량, ARI는 조정랜드지수. 일치율은 복수 연도 내역사업 565개 기준</w:t>
      </w:r>
    </w:p>
    <w:p>
      <w:r>
        <w:br w:type="page"/>
      </w:r>
    </w:p>
    <w:p>
      <w:pPr>
        <w:pStyle w:val="Heading1"/>
        <w:spacing w:after="240" w:before="360" w:line="384"/>
      </w:pPr>
      <w:r>
        <w:rPr>
          <w:rFonts w:ascii="KoPub돋움체" w:cs="KoPub돋움체" w:eastAsia="KoPub돋움체" w:hAnsi="KoPub돋움체"/>
          <w:b/>
          <w:bCs/>
          <w:color w:val="1D6B6B"/>
          <w:sz w:val="40"/>
          <w:szCs w:val="40"/>
        </w:rPr>
        <w:t xml:space="preserve">05  </w:t>
      </w:r>
      <w:r>
        <w:rPr>
          <w:rFonts w:ascii="KoPub돋움체" w:cs="KoPub돋움체" w:eastAsia="KoPub돋움체" w:hAnsi="KoPub돋움체"/>
          <w:b/>
          <w:bCs/>
          <w:sz w:val="40"/>
          <w:szCs w:val="40"/>
        </w:rPr>
        <w:t xml:space="preserve">시사점 및 정책과제</w:t>
      </w:r>
    </w:p>
    <w:p>
      <w:pPr>
        <w:pStyle w:val="Heading2"/>
        <w:spacing w:after="160" w:before="280" w:line="384"/>
      </w:pPr>
      <w:r>
        <w:rPr>
          <w:rFonts w:ascii="KoPub바탕체" w:cs="KoPub바탕체" w:eastAsia="KoPub바탕체" w:hAnsi="KoPub바탕체"/>
          <w:b/>
          <w:bCs/>
          <w:color w:val="2F6F7E"/>
          <w:sz w:val="30"/>
          <w:szCs w:val="30"/>
        </w:rPr>
        <w:t xml:space="preserve">가. 시사점</w:t>
      </w:r>
    </w:p>
    <w:p>
      <w:pPr>
        <w:pStyle w:val="Heading3"/>
        <w:spacing w:after="120" w:before="200" w:line="384"/>
      </w:pPr>
      <w:r>
        <w:rPr>
          <w:rFonts w:ascii="KoPub바탕체" w:cs="KoPub바탕체" w:eastAsia="KoPub바탕체" w:hAnsi="KoPub바탕체"/>
          <w:b/>
          <w:bCs/>
          <w:color w:val="2F6F7E"/>
          <w:sz w:val="26"/>
          <w:szCs w:val="26"/>
        </w:rPr>
        <w:t xml:space="preserve">(1) 자금조달 중심의 지원 포트폴리오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2026년 유형화 대상 예산의 48.0%가 융자·보증 등 자금조달 지원이며, 역량형 지원(전문인력·경영역량)은 4.6%에 불과(p.9)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자금조달 지원은 중기부(7.93조원)·금융위(3.66조원)·고용부·기후부·문체부 등 9개 소관에 분산(p.12)</w:t>
      </w:r>
    </w:p>
    <w:p>
      <w:pPr>
        <w:pStyle w:val="ListParagraph"/>
        <w:numPr>
          <w:ilvl w:val="5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단기 유동성 대응에 치우친 구조를 성장단계 전환(실증·사업화·시장진출)을 뒷받침하는 직접지원과 균형 있게 조정할 필요</w:t>
      </w:r>
    </w:p>
    <w:p>
      <w:pPr>
        <w:pStyle w:val="Heading3"/>
        <w:spacing w:after="120" w:before="200" w:line="384"/>
      </w:pPr>
      <w:r>
        <w:rPr>
          <w:rFonts w:ascii="KoPub바탕체" w:cs="KoPub바탕체" w:eastAsia="KoPub바탕체" w:hAnsi="KoPub바탕체"/>
          <w:b/>
          <w:bCs/>
          <w:color w:val="2F6F7E"/>
          <w:sz w:val="26"/>
          <w:szCs w:val="26"/>
        </w:rPr>
        <w:t xml:space="preserve">(2) 혁신 단계의 무게중심 이동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기술혁신 예산 중 실증·상용화·사업화 단계 비중이 17.7%('24)에서 24.3%('26)로 상승하고, 해외시장 진출 지원은 5배 증가(p.10~11)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원천·핵심기술 개발은 △29.9%, 건수 76건 → 25건으로 축소(p.10)</w:t>
      </w:r>
    </w:p>
    <w:p>
      <w:pPr>
        <w:pStyle w:val="ListParagraph"/>
        <w:numPr>
          <w:ilvl w:val="5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급증 유형의 신설·확대 사업에 대해 유형 공통 성과지표를 설계하고, 원천기술 축소가 중장기 혁신역량에 미치는 영향을 점검할 필요</w:t>
      </w:r>
    </w:p>
    <w:p>
      <w:pPr>
        <w:pStyle w:val="Heading3"/>
        <w:spacing w:after="120" w:before="200" w:line="384"/>
      </w:pPr>
      <w:r>
        <w:rPr>
          <w:rFonts w:ascii="KoPub바탕체" w:cs="KoPub바탕체" w:eastAsia="KoPub바탕체" w:hAnsi="KoPub바탕체"/>
          <w:b/>
          <w:bCs/>
          <w:color w:val="2F6F7E"/>
          <w:sz w:val="26"/>
          <w:szCs w:val="26"/>
        </w:rPr>
        <w:t xml:space="preserve">(3) 사업목적 서술의 품질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내역사업의 12.1%(265건)는 사업목적이 '산업 육성·생태계 조성·활성화' 등 일반 어휘로만 서술되어 유형 특정이 불가(p.8)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2026년 신설 소상공인경영안정바우처(5,790억원)가 제외 대상에 포함되어, 대형 신규 사업일수록 목적 서술의 구체성 점검이 중요</w:t>
      </w:r>
    </w:p>
    <w:p>
      <w:pPr>
        <w:pStyle w:val="ListParagraph"/>
        <w:numPr>
          <w:ilvl w:val="5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예산서 사업설명자료에 지원 대상·수단·기대효과를 명시하는 서술 기준을 마련할 필요</w:t>
      </w:r>
    </w:p>
    <w:p>
      <w:pPr>
        <w:pStyle w:val="Heading3"/>
        <w:spacing w:after="120" w:before="200" w:line="384"/>
      </w:pPr>
      <w:r>
        <w:rPr>
          <w:rFonts w:ascii="KoPub바탕체" w:cs="KoPub바탕체" w:eastAsia="KoPub바탕체" w:hAnsi="KoPub바탕체"/>
          <w:b/>
          <w:bCs/>
          <w:color w:val="2F6F7E"/>
          <w:sz w:val="26"/>
          <w:szCs w:val="26"/>
        </w:rPr>
        <w:t xml:space="preserve">(4) 분류체계와 유사·중복 검토의 기준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기존 지원분야 분류는 결측 36%와 포괄 항목으로 목적별 비교가 어렵고, 수단 항목(융자)과 목적 항목(시장개척)이 한 축에 혼재(p.11, 14)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기술혁신 촉진 15개 소관, 창업·수출 각 12개 소관 등 동일 목적 유형 안에서 다부처 병렬 운영이 확인(p.12~13)</w:t>
      </w:r>
    </w:p>
    <w:p>
      <w:pPr>
        <w:pStyle w:val="ListParagraph"/>
        <w:numPr>
          <w:ilvl w:val="5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분류 기준을 '목적'과 '수단'의 2축으로 명시하고, 동일 목적 유형 내 다부처 사업을 사전협의·성과평가의 검토 모집단으로 활용할 필요</w:t>
      </w:r>
    </w:p>
    <w:p>
      <w:pPr>
        <w:pStyle w:val="Heading2"/>
        <w:spacing w:after="160" w:before="280" w:line="384"/>
      </w:pPr>
      <w:r>
        <w:rPr>
          <w:rFonts w:ascii="KoPub바탕체" w:cs="KoPub바탕체" w:eastAsia="KoPub바탕체" w:hAnsi="KoPub바탕체"/>
          <w:b/>
          <w:bCs/>
          <w:color w:val="2F6F7E"/>
          <w:sz w:val="30"/>
          <w:szCs w:val="30"/>
        </w:rPr>
        <w:t xml:space="preserve">나. 정책과제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(과제1) 중소기업 지원사업 분류체계의 '목적·수단' 2축 개편과 임베딩 기반 자동 분류 도입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중소기업 지원사업 통합관리시스템의 지원분야 분류를 '지원목적(8개 대분류·22개 중분류)'과 '지원형태(출연·보조·직접·융자·보증 등)'로 분리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사업 등록 시 사업목적·공고문 텍스트로 유형을 자동 제안하고 담당자가 확정하는 절차를 도입하여 결측(36%)과 부처 간 편차를 해소</w:t>
      </w:r>
    </w:p>
    <w:p>
      <w:pPr>
        <w:pStyle w:val="ListParagraph"/>
        <w:numPr>
          <w:ilvl w:val="2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본 분석의 임베딩·군집 절차와 유형 매핑은 공개 코드로 재현 가능하며, 신규 사업은 동일 기준으로 즉시 분류 가능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(과제2) 예산서 사업설명자료의 사업목적 서술 기준 마련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내역사업 단위 사업목적에 ① 지원 대상(기업 유형·단계), ② 지원 수단, ③ 기대효과(정책목표)를 필수 기재하도록 작성 지침 보완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유형을 특정할 수 없는 서술은 시스템에서 보완을 요청하고, 일정 규모 이상 신규 사업은 사전협의 단계에서 목적 서술의 구체성을 점검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(과제3) 지원목적 유형 기반 유사·중복 검토의 제도화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사전협의·성과평가 시 동일 중분류 내 다부처 사업 목록을 기본 검토 모집단으로 제공하고, 수혜대상·지원내용·지원형태의 중첩도를 점검</w:t>
      </w:r>
    </w:p>
    <w:p>
      <w:pPr>
        <w:pStyle w:val="ListParagraph"/>
        <w:numPr>
          <w:ilvl w:val="2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우선 검토 영역: AI 응용제품 신속 상용화(7개 부처), 수출 마케팅(중기부·산업부·농식품부·문체부), 창업·벤처 육성(12개 소관)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부처 간 역할 분담이 확인된 영역은 공동 공고·통합 접수 등 수요자 관점의 전달체계 개선으로 연계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(과제4) 지원목적 포트폴리오의 정기 점검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유형별 예산 비중과 추이를 연 1회 산출·공표하고, 중소기업 지원 기본계획과 사업 예산 편성의 점검 지표로 활용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자금조달 편중(48.0%)과 역량형 지원 과소(4.6%)를 점검 항목으로 설정하고, 성장단계 전환 지원과의 균형 목표를 제시</w:t>
      </w:r>
    </w:p>
    <w:p>
      <w:pPr>
        <w:pStyle w:val="ListParagraph"/>
        <w:numPr>
          <w:ilvl w:val="0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/>
          <w:bCs/>
          <w:sz w:val="24"/>
          <w:szCs w:val="24"/>
        </w:rPr>
        <w:t xml:space="preserve">(과제5) 급증 유형의 성과지표 공통화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실증·상용화·사업화(A8~A9), 해외시장 진출(C2), 환경·에너지 설비 전환(E2) 등 2년간 급증한 유형에 대해 유형 공통 성과지표(상용화율, 수출 전환율, 감축량 등)를 설계</w:t>
      </w:r>
    </w:p>
    <w:p>
      <w:pPr>
        <w:pStyle w:val="ListParagraph"/>
        <w:numPr>
          <w:ilvl w:val="1"/>
          <w:numId w:val="2"/>
        </w:numPr>
        <w:spacing w:after="40" w:before="0" w:line="384"/>
      </w:pPr>
      <w:r>
        <w:rPr>
          <w:rFonts w:ascii="KoPub바탕체" w:cs="KoPub바탕체" w:eastAsia="KoPub바탕체" w:hAnsi="KoPub바탕체"/>
          <w:b w:val="false"/>
          <w:bCs w:val="false"/>
          <w:sz w:val="23"/>
          <w:szCs w:val="23"/>
        </w:rPr>
        <w:t xml:space="preserve">신설·확대 사업의 성과평가 시 동일 유형 사업 간 비교가 가능하도록 지표 정의와 산출 방식을 통일</w:t>
      </w:r>
    </w:p>
    <w:p>
      <w:r>
        <w:br w:type="page"/>
      </w:r>
    </w:p>
    <w:p>
      <w:pPr>
        <w:shd w:fill="E8F3F1" w:color="auto" w:val="clear"/>
        <w:spacing w:after="200" w:before="360" w:line="384"/>
      </w:pPr>
      <w:r>
        <w:rPr>
          <w:rFonts w:ascii="KoPub돋움체" w:cs="KoPub돋움체" w:eastAsia="KoPub돋움체" w:hAnsi="KoPub돋움체"/>
          <w:b/>
          <w:bCs/>
          <w:color w:val="1D6B6B"/>
          <w:sz w:val="32"/>
          <w:szCs w:val="32"/>
        </w:rPr>
        <w:t xml:space="preserve">  참고자료</w:t>
      </w:r>
    </w:p>
    <w:p>
      <w:pPr>
        <w:spacing w:after="120" w:before="0" w:line="384"/>
        <w:ind w:left="400" w:hanging="400"/>
      </w:pPr>
      <w:r>
        <w:rPr>
          <w:rFonts w:ascii="KoPub바탕체" w:cs="KoPub바탕체" w:eastAsia="KoPub바탕체" w:hAnsi="KoPub바탕체"/>
          <w:b w:val="false"/>
          <w:bCs w:val="false"/>
          <w:sz w:val="22"/>
          <w:szCs w:val="22"/>
        </w:rPr>
        <w:t xml:space="preserve">관계부처(각연도), 「예산 및 기금운용계획 사업설명자료」.</w:t>
      </w:r>
    </w:p>
    <w:p>
      <w:pPr>
        <w:spacing w:after="120" w:before="0" w:line="384"/>
        <w:ind w:left="400" w:hanging="400"/>
      </w:pPr>
      <w:r>
        <w:rPr>
          <w:rFonts w:ascii="KoPub바탕체" w:cs="KoPub바탕체" w:eastAsia="KoPub바탕체" w:hAnsi="KoPub바탕체"/>
          <w:b w:val="false"/>
          <w:bCs w:val="false"/>
          <w:sz w:val="22"/>
          <w:szCs w:val="22"/>
        </w:rPr>
        <w:t xml:space="preserve">중소벤처기업부(각연도), 「중소기업 지원사업 정책디렉토리」.</w:t>
      </w:r>
    </w:p>
    <w:p>
      <w:pPr>
        <w:spacing w:after="120" w:before="0" w:line="384"/>
        <w:ind w:left="400" w:hanging="400"/>
      </w:pPr>
      <w:r>
        <w:rPr>
          <w:rFonts w:ascii="KoPub바탕체" w:cs="KoPub바탕체" w:eastAsia="KoPub바탕체" w:hAnsi="KoPub바탕체"/>
          <w:b w:val="false"/>
          <w:bCs w:val="false"/>
          <w:sz w:val="22"/>
          <w:szCs w:val="22"/>
        </w:rPr>
        <w:t xml:space="preserve">중소벤처기업부·중소기업진흥공단(각연도), 기업마당(www.bizinfo.go.kr) 지원사업 공고.</w:t>
      </w:r>
    </w:p>
    <w:p>
      <w:pPr>
        <w:spacing w:after="120" w:before="0" w:line="384"/>
        <w:ind w:left="400" w:hanging="400"/>
      </w:pPr>
      <w:r>
        <w:rPr>
          <w:rFonts w:ascii="KoPub바탕체" w:cs="KoPub바탕체" w:eastAsia="KoPub바탕체" w:hAnsi="KoPub바탕체"/>
          <w:b w:val="false"/>
          <w:bCs w:val="false"/>
          <w:sz w:val="22"/>
          <w:szCs w:val="22"/>
        </w:rPr>
        <w:t xml:space="preserve">중소벤처기업연구원 정책평가팀(2026), 「중앙부처 중소기업 지원 내역사업의 지원목적 유형화」, 분석 자료(내부).</w:t>
      </w:r>
    </w:p>
    <w:p>
      <w:pPr>
        <w:spacing w:after="120" w:before="0" w:line="384"/>
        <w:ind w:left="400" w:hanging="400"/>
      </w:pPr>
      <w:r>
        <w:rPr>
          <w:rFonts w:ascii="KoPub바탕체" w:cs="KoPub바탕체" w:eastAsia="KoPub바탕체" w:hAnsi="KoPub바탕체"/>
          <w:b w:val="false"/>
          <w:bCs w:val="false"/>
          <w:sz w:val="22"/>
          <w:szCs w:val="22"/>
        </w:rPr>
        <w:t xml:space="preserve">Chen, J., Xiao, S., Zhang, P., Luo, K., Lian, D. and Liu, Z.(2024), “BGE M3-Embedding: Multi-Lingual, Multi-Functionality, Multi-Granularity Text Embeddings Through Self-Knowledge Distillation”, arXiv:2402.03216.</w:t>
      </w:r>
    </w:p>
    <w:p>
      <w:pPr>
        <w:spacing w:after="120" w:before="0" w:line="384"/>
        <w:ind w:left="400" w:hanging="400"/>
      </w:pPr>
      <w:r>
        <w:rPr>
          <w:rFonts w:ascii="KoPub바탕체" w:cs="KoPub바탕체" w:eastAsia="KoPub바탕체" w:hAnsi="KoPub바탕체"/>
          <w:b w:val="false"/>
          <w:bCs w:val="false"/>
          <w:sz w:val="22"/>
          <w:szCs w:val="22"/>
        </w:rPr>
        <w:t xml:space="preserve">Pedregosa, F. et al.(2011), “Scikit-learn: Machine Learning in Python”, Journal of Machine Learning Research, 12, pp. 2825-2830.</w:t>
      </w:r>
    </w:p>
    <w:p>
      <w:pPr>
        <w:spacing w:after="120" w:before="0" w:line="384"/>
        <w:ind w:left="400" w:hanging="400"/>
      </w:pPr>
      <w:r>
        <w:rPr>
          <w:rFonts w:ascii="KoPub바탕체" w:cs="KoPub바탕체" w:eastAsia="KoPub바탕체" w:hAnsi="KoPub바탕체"/>
          <w:b w:val="false"/>
          <w:bCs w:val="false"/>
          <w:sz w:val="22"/>
          <w:szCs w:val="22"/>
        </w:rPr>
        <w:t xml:space="preserve">van der Maaten, L. and Hinton, G.(2008), “Visualizing Data using t-SNE”, Journal of Machine Learning Research, 9, pp. 2579-2605.</w:t>
      </w:r>
    </w:p>
    <w:p>
      <w:pPr>
        <w:spacing w:after="120" w:before="0" w:line="384"/>
        <w:ind w:left="400" w:hanging="400"/>
      </w:pPr>
      <w:r>
        <w:rPr>
          <w:rFonts w:ascii="KoPub바탕체" w:cs="KoPub바탕체" w:eastAsia="KoPub바탕체" w:hAnsi="KoPub바탕체"/>
          <w:b w:val="false"/>
          <w:bCs w:val="false"/>
          <w:sz w:val="22"/>
          <w:szCs w:val="22"/>
        </w:rPr>
        <w:t xml:space="preserve">이민철(2024), Kiwi: 한국어 형태소 분석기(kiwipiepy), https://github.com/bab2min/Kiwi(검색일: 2026. 10. 5).</w:t>
      </w:r>
    </w:p>
    <w:sectPr>
      <w:footerReference w:type="default" r:id="rId7"/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KoPub돋움체" w:cs="KoPub돋움체" w:eastAsia="KoPub돋움체" w:hAnsi="KoPub돋움체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360" w:hanging="360"/>
      </w:pPr>
      <w:rPr>
        <w:b/>
        <w:bCs/>
        <w:color w:val="1D6B6B"/>
      </w:rPr>
    </w:lvl>
    <w:lvl w:ilvl="1" w15:tentative="1">
      <w:start w:val="1"/>
      <w:numFmt w:val="bullet"/>
      <w:lvlText w:val="•"/>
      <w:lvlJc w:val="left"/>
      <w:pPr>
        <w:ind w:left="720" w:hanging="300"/>
      </w:pPr>
    </w:lvl>
    <w:lvl w:ilvl="2" w15:tentative="1">
      <w:start w:val="1"/>
      <w:numFmt w:val="bullet"/>
      <w:lvlText w:val="-"/>
      <w:lvlJc w:val="left"/>
      <w:pPr>
        <w:ind w:left="1040" w:hanging="260"/>
      </w:pPr>
    </w:lvl>
    <w:lvl w:ilvl="3" w15:tentative="1">
      <w:start w:val="1"/>
      <w:numFmt w:val="bullet"/>
      <w:lvlText w:val="*"/>
      <w:lvlJc w:val="left"/>
      <w:pPr>
        <w:ind w:left="1360" w:hanging="240"/>
      </w:pPr>
    </w:lvl>
    <w:lvl w:ilvl="4" w15:tentative="1">
      <w:start w:val="1"/>
      <w:numFmt w:val="bullet"/>
      <w:lvlText w:val="※"/>
      <w:lvlJc w:val="left"/>
      <w:pPr>
        <w:ind w:left="720" w:hanging="300"/>
      </w:pPr>
    </w:lvl>
    <w:lvl w:ilvl="5" w15:tentative="1">
      <w:start w:val="1"/>
      <w:numFmt w:val="bullet"/>
      <w:lvlText w:val="⇒"/>
      <w:lvlJc w:val="left"/>
      <w:pPr>
        <w:ind w:left="720" w:hanging="320"/>
      </w:pPr>
      <w:rPr>
        <w:b/>
        <w:bCs/>
        <w:color w:val="1D6B6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oPub바탕체" w:cs="KoPub바탕체" w:eastAsia="KoPub바탕체" w:hAnsi="KoPub바탕체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0edd290911025a7190d0fb86f9d0ed06c08e5c6.png"/><Relationship Id="rId9" Type="http://schemas.openxmlformats.org/officeDocument/2006/relationships/image" Target="media/a6752e9bcad8a8888308c20b9ba876bcc3365397.png"/><Relationship Id="rId10" Type="http://schemas.openxmlformats.org/officeDocument/2006/relationships/image" Target="media/47d33469513f6dcce97a0410afd1bb2abb843409.png"/><Relationship Id="rId11" Type="http://schemas.openxmlformats.org/officeDocument/2006/relationships/image" Target="media/336bc888ec7ac1481293fb481212c417e69640f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2026-10-05T10:32:39.878Z</dcterms:created>
  <dcterms:modified xsi:type="dcterms:W3CDTF">2026-10-05T10:32:39.882Z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