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내역사업의 유형화 기준을 정리한 것으로, 기준별 판정 방법과 유형별 정의·판정 단서·경계를 명시하여 유형화의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유형의 명칭과 구성은 임베딩 군집 결과를 바탕으로 전문가 자문을 거쳐 확정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여섯 가지 기준은 서로 독립적으로 판정하며, 같은 사업이라도 기준마다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AI 관여도는 지원산업 유형화의 하위 지표로 판정하나, 정책 테마 집계에 별도로 쓰이므로 독립 기준으로 정의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유형화 기준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기준별 문자 + 일련번호(지원목적 A~H 대분류·A1~H2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8개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명명·병합(명칭과 병합 결과는 전문가 자문으로 확정)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전문인력 양성·채용 지원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고용 창출·유지 및 노동환경 개선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(9.1%)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H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H1~H2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정책자금 융자(운전·시설자금)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보증·팩토링 등 신용보강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C·H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환경·에너지 설비 설치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(탄소중립·에너지 전환)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G3,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컨설팅·교육·마케팅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컨설팅·교육·판로·마케팅, 재기·사업전환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유형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2026-10-23T11:30:11.788Z</dcterms:created>
  <dcterms:modified xsi:type="dcterms:W3CDTF">2026-10-23T11:30:11.788Z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