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Dive Dossier: Sentinel Cloud Operations Support</w:t>
      </w:r>
    </w:p>
    <w:p>
      <w:pPr>
        <w:pStyle w:val="Heading2"/>
      </w:pPr>
      <w:r>
        <w:t>Target metadata</w:t>
      </w:r>
    </w:p>
    <w:p>
      <w:pPr>
        <w:spacing w:after="80"/>
      </w:pPr>
      <w:r>
        <w:rPr>
          <w:b/>
        </w:rPr>
        <w:t xml:space="preserve">Target name: </w:t>
      </w:r>
      <w:r>
        <w:t>Sentinel Cloud Operations Support</w:t>
      </w:r>
    </w:p>
    <w:p>
      <w:pPr>
        <w:spacing w:after="80"/>
      </w:pPr>
      <w:r>
        <w:rPr>
          <w:b/>
        </w:rPr>
        <w:t xml:space="preserve">GovTribe type: </w:t>
      </w:r>
      <w:r>
        <w:t>federal_contract_opportunity</w:t>
      </w:r>
    </w:p>
    <w:p>
      <w:pPr>
        <w:spacing w:after="80"/>
      </w:pPr>
      <w:r>
        <w:rPr>
          <w:b/>
        </w:rPr>
        <w:t xml:space="preserve">GovTribe ID: </w:t>
      </w:r>
      <w:r>
        <w:t>GT-QA-FCO-001</w:t>
      </w:r>
    </w:p>
    <w:p>
      <w:pPr>
        <w:spacing w:after="80"/>
      </w:pPr>
      <w:r>
        <w:rPr>
          <w:b/>
        </w:rPr>
        <w:t xml:space="preserve">GovTribe URL: </w:t>
      </w:r>
      <w:r>
        <w:t>https://govtribe.com/opportunity/GT-QA-FCO-001</w:t>
      </w:r>
    </w:p>
    <w:p>
      <w:pPr>
        <w:spacing w:after="80"/>
      </w:pPr>
      <w:r>
        <w:rPr>
          <w:b/>
        </w:rPr>
        <w:t xml:space="preserve">Status / lifecycle: </w:t>
      </w:r>
      <w:r>
        <w:t>Open solicitation; likely cloud operations recompete</w:t>
      </w:r>
    </w:p>
    <w:p>
      <w:pPr>
        <w:spacing w:after="80"/>
      </w:pPr>
      <w:r>
        <w:rPr>
          <w:b/>
        </w:rPr>
        <w:t xml:space="preserve">Buyer / funder / owner: </w:t>
      </w:r>
      <w:r>
        <w:t>Department of Civic Infrastructure, Office of Platform Operations</w:t>
      </w:r>
    </w:p>
    <w:p>
      <w:pPr>
        <w:spacing w:after="80"/>
      </w:pPr>
      <w:r>
        <w:rPr>
          <w:b/>
        </w:rPr>
        <w:t xml:space="preserve">Key dates: </w:t>
      </w:r>
      <w:r>
        <w:t>Posted 2026-04-05; questions due 2026-04-28; proposals due 2026-05-20</w:t>
      </w:r>
    </w:p>
    <w:p>
      <w:pPr>
        <w:spacing w:after="80"/>
      </w:pPr>
      <w:r>
        <w:rPr>
          <w:b/>
        </w:rPr>
        <w:t xml:space="preserve">Value / ceiling / funding: </w:t>
      </w:r>
      <w:r>
        <w:t>Estimated $42M base plus options; cloud operations and security support</w:t>
      </w:r>
    </w:p>
    <w:p>
      <w:pPr>
        <w:spacing w:after="80"/>
      </w:pPr>
      <w:r>
        <w:rPr>
          <w:b/>
        </w:rPr>
        <w:t xml:space="preserve">Selected profiles: </w:t>
      </w:r>
      <w:r>
        <w:t>live_pursuit, recompete_planning</w:t>
      </w:r>
    </w:p>
    <w:p/>
    <w:p>
      <w:pPr>
        <w:pStyle w:val="Heading2"/>
      </w:pPr>
      <w:r>
        <w:t>Decision snapshot</w:t>
      </w:r>
    </w:p>
    <w:p>
      <w:pPr>
        <w:spacing w:after="80"/>
      </w:pPr>
      <w:r>
        <w:rPr>
          <w:b/>
        </w:rPr>
        <w:t xml:space="preserve">Current read: </w:t>
      </w:r>
      <w:r>
        <w:t>Bid-worthy if staffing proof and transition risk are closed before final color review [SRC-01, FILE-01, AWD-01].</w:t>
      </w:r>
    </w:p>
    <w:p>
      <w:pPr>
        <w:spacing w:after="80"/>
      </w:pPr>
      <w:r>
        <w:rPr>
          <w:b/>
        </w:rPr>
        <w:t xml:space="preserve">Primary BD use: </w:t>
      </w:r>
      <w:r>
        <w:t>Live pursuit brief plus recompete plan for capture and proposal leads [SRC-01, AWD-01].</w:t>
      </w:r>
    </w:p>
    <w:p>
      <w:pPr>
        <w:spacing w:after="80"/>
      </w:pPr>
      <w:r>
        <w:rPr>
          <w:b/>
        </w:rPr>
        <w:t xml:space="preserve">Pursuit / account posture: </w:t>
      </w:r>
      <w:r>
        <w:t>Pursue with discipline; assume transition credibility is the discriminator [AWD-01, CNT-01].</w:t>
      </w:r>
    </w:p>
    <w:p>
      <w:pPr>
        <w:spacing w:after="80"/>
      </w:pPr>
      <w:r>
        <w:rPr>
          <w:b/>
        </w:rPr>
        <w:t xml:space="preserve">Highest-value action: </w:t>
      </w:r>
      <w:r>
        <w:t>Build a transition proof pack tied to Section M factors [FILE-01, CNT-01].</w:t>
      </w:r>
    </w:p>
    <w:p>
      <w:pPr>
        <w:spacing w:after="80"/>
      </w:pPr>
      <w:r>
        <w:rPr>
          <w:b/>
        </w:rPr>
        <w:t xml:space="preserve">Main risk or unknown: </w:t>
      </w:r>
      <w:r>
        <w:t>The notice does not reveal how much evaluators will favor incumbent continuity [GAP-01].</w:t>
      </w:r>
    </w:p>
    <w:p>
      <w:pPr>
        <w:spacing w:after="80"/>
      </w:pPr>
      <w:r>
        <w:rPr>
          <w:b/>
        </w:rPr>
        <w:t xml:space="preserve">Confidence: </w:t>
      </w:r>
      <w:r>
        <w:t>Moderate-high confidence: 78%.</w:t>
      </w:r>
    </w:p>
    <w:p/>
    <w:p>
      <w:pPr>
        <w:pStyle w:val="Heading2"/>
      </w:pPr>
      <w:r>
        <w:t>Executive takeaway</w:t>
      </w:r>
    </w:p>
    <w:p>
      <w:pPr>
        <w:spacing w:after="140" w:line="259" w:lineRule="auto"/>
      </w:pPr>
      <w:r>
        <w:t>The opportunity is a legitimate live pursuit because the solicitation is open, the work maps to cloud operations and security support, and the due date leaves enough time for a focused proposal response [SRC-01, FILE-01]. It is also a recompete-planning target because the agency's expiring operations award shows the same platform mission, buyer office, and service lane [AWD-01].</w:t>
      </w:r>
    </w:p>
    <w:p>
      <w:pPr>
        <w:spacing w:after="140" w:line="259" w:lineRule="auto"/>
      </w:pPr>
      <w:r>
        <w:t>The probable incumbent, Northstar Digital Services, has continuity advantages but also exposes a transition narrative that a challenger can attack if the proposal proves staffing depth, automated operations discipline, and low-risk cutover sequencing [AWD-01, CNT-01]. The user should treat this as a selective bid: attractive enough to pursue, but only if the capture team can convert file-derived requirements into proof artifacts within the next two weeks [FILE-01, GAP-01].</w:t>
      </w:r>
    </w:p>
    <w:p>
      <w:pPr>
        <w:spacing w:after="140" w:line="259" w:lineRule="auto"/>
      </w:pPr>
      <w:r>
        <w:t>Personalized inference: the user's employer context suggests cloud migration and cybersecurity delivery may be relevant strengths, so the dossier prioritizes cloud-security discriminators and staffing proof. This is a tailoring signal, not source-backed evidence about the target [USER-01].</w:t>
      </w:r>
    </w:p>
    <w:p>
      <w:pPr>
        <w:pStyle w:val="Heading2"/>
      </w:pPr>
      <w:r>
        <w:t>Source-backed target profile</w:t>
      </w:r>
    </w:p>
    <w:p>
      <w:pPr>
        <w:pStyle w:val="ListBullet"/>
        <w:spacing w:after="80"/>
      </w:pPr>
      <w:r>
        <w:t>The target is an open federal contract opportunity for cloud operations, security monitoring, incident response support, and platform reliability engineering [SRC-01, FILE-01].</w:t>
      </w:r>
    </w:p>
    <w:p>
      <w:pPr>
        <w:pStyle w:val="ListBullet"/>
        <w:spacing w:after="80"/>
      </w:pPr>
      <w:r>
        <w:t>The solicitation uses a best-value tradeoff with technical approach, management and staffing, past performance, and price factors [FILE-01].</w:t>
      </w:r>
    </w:p>
    <w:p>
      <w:pPr>
        <w:pStyle w:val="ListBullet"/>
        <w:spacing w:after="80"/>
      </w:pPr>
      <w:r>
        <w:t>The likely predecessor is an expiring award for enterprise platform operations at the same buyer office, held by Northstar Digital Services [AWD-01].</w:t>
      </w:r>
    </w:p>
    <w:p>
      <w:pPr>
        <w:pStyle w:val="ListBullet"/>
        <w:spacing w:after="80"/>
      </w:pPr>
      <w:r>
        <w:t>The buyer contact set includes a contracting officer and technical point of contact, which creates a practical path for questions and shaping clarification before the question deadline [CNT-01].</w:t>
      </w:r>
    </w:p>
    <w:p>
      <w:pPr>
        <w:pStyle w:val="ListBullet"/>
        <w:spacing w:after="80"/>
      </w:pPr>
      <w:r>
        <w:t>The current record does not provide a complete pricing model or a definitive incumbent bridge, so both price-to-win and recompete timing remain evidence gaps [GAP-01, GAP-02].</w:t>
      </w:r>
    </w:p>
    <w:p>
      <w:pPr>
        <w:pStyle w:val="Heading2"/>
      </w:pPr>
      <w:r>
        <w:t>Lifecycle and user intent</w:t>
      </w:r>
    </w:p>
    <w:p>
      <w:pPr>
        <w:pStyle w:val="ListBullet"/>
        <w:spacing w:after="80"/>
      </w:pPr>
      <w:r>
        <w:t>Selected output profiles: live_pursuit, recompete_planning.</w:t>
      </w:r>
    </w:p>
    <w:p>
      <w:pPr>
        <w:pStyle w:val="ListBullet"/>
        <w:spacing w:after="80"/>
      </w:pPr>
      <w:r>
        <w:t>Lifecycle read: open solicitation with a future proposal deadline; also likely recompete of an expiring operations support award.</w:t>
      </w:r>
    </w:p>
    <w:p>
      <w:pPr>
        <w:pStyle w:val="ListBullet"/>
        <w:spacing w:after="80"/>
      </w:pPr>
      <w:r>
        <w:t>Intended user: BD, capture, and proposal leads deciding whether to bid and how to shape the response.</w:t>
      </w:r>
    </w:p>
    <w:p>
      <w:pPr>
        <w:pStyle w:val="ListBullet"/>
        <w:spacing w:after="80"/>
      </w:pPr>
      <w:r>
        <w:t>Current-date interpretation: as of 2026-04-24, the team has 26 days until the 2026-05-20 proposal due date.</w:t>
      </w:r>
    </w:p>
    <w:p>
      <w:pPr>
        <w:pStyle w:val="ListBullet"/>
        <w:spacing w:after="80"/>
      </w:pPr>
      <w:r>
        <w:t>Personalized inference: employer and recent-interest signals point to cloud and cyber relevance, so the brief emphasizes staffing, security operations, and transition proof [USER-01].</w:t>
      </w:r>
    </w:p>
    <w:p>
      <w:pPr>
        <w:pStyle w:val="Heading2"/>
      </w:pPr>
      <w:r>
        <w:t>BD and capture implications</w:t>
      </w:r>
    </w:p>
    <w:p>
      <w:pPr>
        <w:spacing w:after="140" w:line="259" w:lineRule="auto"/>
      </w:pPr>
      <w:r>
        <w:t>This is not a generic cloud support bid. The capture problem is to convince evaluators that a non-incumbent can assume operations without disruption while improving security observability and incident response discipline [FILE-01, AWD-01].</w:t>
      </w:r>
    </w:p>
    <w:p>
      <w:pPr>
        <w:spacing w:after="140" w:line="259" w:lineRule="auto"/>
      </w:pPr>
      <w:r>
        <w:t>The proposal should lead with transition realism, not only technical modernization. The agency likely cares about continuity, cleared staffing availability, and whether the contractor can keep systems stable during the first 90 days [AWD-01, CNT-01].</w:t>
      </w:r>
    </w:p>
    <w:p>
      <w:pPr>
        <w:spacing w:after="140" w:line="259" w:lineRule="auto"/>
      </w:pPr>
      <w:r>
        <w:t>The pursuit should remain gated. If the team cannot identify credible key personnel, relevant past performance, and a defensible price range before bid decision, the opportunity should move to no-bid or partner-led posture [GAP-01, GAP-02].</w:t>
      </w:r>
    </w:p>
    <w:p>
      <w:pPr>
        <w:pStyle w:val="Heading2"/>
      </w:pPr>
      <w:r>
        <w:t>Live pursuit module</w:t>
      </w:r>
    </w:p>
    <w:p>
      <w:pPr>
        <w:pStyle w:val="Heading3"/>
      </w:pPr>
      <w:r>
        <w:t>Opportunity actionability</w:t>
      </w:r>
    </w:p>
    <w:p>
      <w:pPr>
        <w:pStyle w:val="ListBullet"/>
        <w:spacing w:after="80"/>
      </w:pPr>
      <w:r>
        <w:t>The solicitation is live, with questions due soon and proposal submission still far enough out for a focused capture sprint [SRC-01].</w:t>
      </w:r>
    </w:p>
    <w:p>
      <w:pPr>
        <w:pStyle w:val="ListBullet"/>
        <w:spacing w:after="80"/>
      </w:pPr>
      <w:r>
        <w:t>The file-derived requirements point to cloud operations, security monitoring, incident management, and reliability engineering as the core response lanes [FILE-01].</w:t>
      </w:r>
    </w:p>
    <w:p>
      <w:pPr>
        <w:pStyle w:val="ListBullet"/>
        <w:spacing w:after="80"/>
      </w:pPr>
      <w:r>
        <w:t>The most important immediate work is to translate Section M factors into a compliance matrix and evidence checklist [FILE-01].</w:t>
      </w:r>
    </w:p>
    <w:p>
      <w:pPr>
        <w:pStyle w:val="Heading3"/>
      </w:pPr>
      <w:r>
        <w:t>Proposal strategy</w:t>
      </w:r>
    </w:p>
    <w:p>
      <w:pPr>
        <w:pStyle w:val="ListBullet"/>
        <w:spacing w:after="80"/>
      </w:pPr>
      <w:r>
        <w:t>Lead with low-risk transition and day-one continuity.</w:t>
      </w:r>
    </w:p>
    <w:p>
      <w:pPr>
        <w:pStyle w:val="ListBullet"/>
        <w:spacing w:after="80"/>
      </w:pPr>
      <w:r>
        <w:t>Use cloud-security operations as the discriminator only after proving staffing and operational control.</w:t>
      </w:r>
    </w:p>
    <w:p>
      <w:pPr>
        <w:pStyle w:val="ListBullet"/>
        <w:spacing w:after="80"/>
      </w:pPr>
      <w:r>
        <w:t>Build a past-performance bridge to enterprise operations, FedRAMP-adjacent environments, incident response, and 24x7 support.</w:t>
      </w:r>
    </w:p>
    <w:p>
      <w:pPr>
        <w:pStyle w:val="ListBullet"/>
        <w:spacing w:after="80"/>
      </w:pPr>
      <w:r>
        <w:t>Keep price strategy linked to staffing realism because aggressive pricing may create evaluation risk if it weakens coverage [GAP-02].</w:t>
      </w:r>
    </w:p>
    <w:p>
      <w:pPr>
        <w:pStyle w:val="Heading3"/>
      </w:pPr>
      <w:r>
        <w:t>Clarification questions</w:t>
      </w:r>
    </w:p>
    <w:p>
      <w:pPr>
        <w:pStyle w:val="ListBullet"/>
        <w:spacing w:after="80"/>
      </w:pPr>
      <w:r>
        <w:t>Ask whether incumbent transition artifacts or current-state diagrams will be provided [CNT-01].</w:t>
      </w:r>
    </w:p>
    <w:p>
      <w:pPr>
        <w:pStyle w:val="ListBullet"/>
        <w:spacing w:after="80"/>
      </w:pPr>
      <w:r>
        <w:t>Ask whether staffing coverage assumptions should include surge support for incident response [FILE-01].</w:t>
      </w:r>
    </w:p>
    <w:p>
      <w:pPr>
        <w:pStyle w:val="ListBullet"/>
        <w:spacing w:after="80"/>
      </w:pPr>
      <w:r>
        <w:t>Ask whether the agency expects named key personnel at submission or only at award [FILE-01].</w:t>
      </w:r>
    </w:p>
    <w:p>
      <w:pPr>
        <w:pStyle w:val="Heading2"/>
      </w:pPr>
      <w:r>
        <w:t>Recompete planning module</w:t>
      </w:r>
    </w:p>
    <w:p>
      <w:pPr>
        <w:pStyle w:val="Heading3"/>
      </w:pPr>
      <w:r>
        <w:t>Incumbent and predecessor read</w:t>
      </w:r>
    </w:p>
    <w:p>
      <w:pPr>
        <w:spacing w:after="140" w:line="259" w:lineRule="auto"/>
      </w:pPr>
      <w:r>
        <w:t>Northstar Digital Services appears to be the likely incumbent because the predecessor award shares the buyer office, platform operations scope, and timing that aligns with this solicitation [AWD-01]. Confidence is moderate rather than high because the notice does not explicitly name the predecessor [GAP-01].</w:t>
      </w:r>
    </w:p>
    <w:p>
      <w:pPr>
        <w:pStyle w:val="Heading3"/>
      </w:pPr>
      <w:r>
        <w:t>Recompete dynamics</w:t>
      </w:r>
    </w:p>
    <w:p>
      <w:pPr>
        <w:pStyle w:val="ListBullet"/>
        <w:spacing w:after="80"/>
      </w:pPr>
      <w:r>
        <w:t>Incumbent strengths: customer familiarity, continuity story, and likely operational knowledge [AWD-01].</w:t>
      </w:r>
    </w:p>
    <w:p>
      <w:pPr>
        <w:pStyle w:val="ListBullet"/>
        <w:spacing w:after="80"/>
      </w:pPr>
      <w:r>
        <w:t>Challenger opening: the solicitation emphasizes security monitoring and reliability improvements, which can create space for a stronger technical operations narrative [FILE-01].</w:t>
      </w:r>
    </w:p>
    <w:p>
      <w:pPr>
        <w:pStyle w:val="ListBullet"/>
        <w:spacing w:after="80"/>
      </w:pPr>
      <w:r>
        <w:t>Shaping angle: build a transition plan that shows how the team will preserve current operations while improving incident response metrics during the first 90 days [FILE-01, CNT-01].</w:t>
      </w:r>
    </w:p>
    <w:p>
      <w:pPr>
        <w:pStyle w:val="Heading3"/>
      </w:pPr>
      <w:r>
        <w:t>Watch triggers</w:t>
      </w:r>
    </w:p>
    <w:p>
      <w:pPr>
        <w:pStyle w:val="ListBullet"/>
        <w:spacing w:after="80"/>
      </w:pPr>
      <w:r>
        <w:t>Amendment changing due date, staffing requirements, or evaluation weighting [SRC-01].</w:t>
      </w:r>
    </w:p>
    <w:p>
      <w:pPr>
        <w:pStyle w:val="ListBullet"/>
        <w:spacing w:after="80"/>
      </w:pPr>
      <w:r>
        <w:t>Government answers that reveal whether current-state data will be released [CNT-01].</w:t>
      </w:r>
    </w:p>
    <w:p>
      <w:pPr>
        <w:pStyle w:val="ListBullet"/>
        <w:spacing w:after="80"/>
      </w:pPr>
      <w:r>
        <w:t>New files that clarify labor mix, service levels, or transition constraints [FILE-01].</w:t>
      </w:r>
    </w:p>
    <w:p>
      <w:pPr>
        <w:pStyle w:val="Heading2"/>
      </w:pPr>
      <w:r>
        <w:t>Consultant scoring</w:t>
      </w:r>
    </w:p>
    <w:p>
      <w:pPr>
        <w:pStyle w:val="ListBullet"/>
        <w:spacing w:after="80"/>
      </w:pPr>
      <w:r>
        <w:rPr>
          <w:b/>
        </w:rPr>
        <w:t xml:space="preserve">Attractiveness: </w:t>
      </w:r>
      <w:r>
        <w:t>Score: 4/5; Rationale: Meaningful value, clear mission need, and actionable deadline.; Evidence: SRC-01, FILE-01</w:t>
      </w:r>
    </w:p>
    <w:p>
      <w:pPr>
        <w:pStyle w:val="ListBullet"/>
        <w:spacing w:after="80"/>
      </w:pPr>
      <w:r>
        <w:rPr>
          <w:b/>
        </w:rPr>
        <w:t xml:space="preserve">Fit: </w:t>
      </w:r>
      <w:r>
        <w:t>Score: 4/5; Rationale: Cloud operations and cyber support appear aligned to likely user strengths.; Evidence: FILE-01, USER-01</w:t>
      </w:r>
    </w:p>
    <w:p>
      <w:pPr>
        <w:pStyle w:val="ListBullet"/>
        <w:spacing w:after="80"/>
      </w:pPr>
      <w:r>
        <w:rPr>
          <w:b/>
        </w:rPr>
        <w:t xml:space="preserve">Urgency: </w:t>
      </w:r>
      <w:r>
        <w:t>Score: 5/5; Rationale: Questions and proposal deadlines require immediate action.; Evidence: SRC-01</w:t>
      </w:r>
    </w:p>
    <w:p>
      <w:pPr>
        <w:pStyle w:val="ListBullet"/>
        <w:spacing w:after="80"/>
      </w:pPr>
      <w:r>
        <w:rPr>
          <w:b/>
        </w:rPr>
        <w:t xml:space="preserve">Access: </w:t>
      </w:r>
      <w:r>
        <w:t>Score: 3/5; Rationale: Contacts exist, but no evidence of relationship depth.; Evidence: CNT-01, GAP-01</w:t>
      </w:r>
    </w:p>
    <w:p>
      <w:pPr>
        <w:pStyle w:val="ListBullet"/>
        <w:spacing w:after="80"/>
      </w:pPr>
      <w:r>
        <w:rPr>
          <w:b/>
        </w:rPr>
        <w:t xml:space="preserve">Risk: </w:t>
      </w:r>
      <w:r>
        <w:t>Score: 3/5; Rationale: Incumbent continuity and staffing proof are material risks.; Evidence: AWD-01, GAP-01</w:t>
      </w:r>
    </w:p>
    <w:p/>
    <w:p>
      <w:pPr>
        <w:pStyle w:val="Heading2"/>
      </w:pPr>
      <w:r>
        <w:t>Recommended actions</w:t>
      </w:r>
    </w:p>
    <w:p>
      <w:pPr>
        <w:pStyle w:val="Heading3"/>
      </w:pPr>
      <w:r>
        <w:t>Next 48 hours</w:t>
      </w:r>
    </w:p>
    <w:p>
      <w:pPr>
        <w:pStyle w:val="ListBullet"/>
        <w:spacing w:after="80"/>
      </w:pPr>
      <w:r>
        <w:t>Build a compliance matrix from Section L and Section M, then tag every requirement to proof artifacts and owners [FILE-01].</w:t>
      </w:r>
    </w:p>
    <w:p>
      <w:pPr>
        <w:pStyle w:val="ListBullet"/>
        <w:spacing w:after="80"/>
      </w:pPr>
      <w:r>
        <w:t>Contact the contracting officer with targeted clarification questions about transition, staffing, and current-state data [CNT-01].</w:t>
      </w:r>
    </w:p>
    <w:p>
      <w:pPr>
        <w:pStyle w:val="ListBullet"/>
        <w:spacing w:after="80"/>
      </w:pPr>
      <w:r>
        <w:t>Confirm whether internal past performance can credibly cover cloud operations, security monitoring, and 24x7 support [FILE-01, USER-01].</w:t>
      </w:r>
    </w:p>
    <w:p>
      <w:pPr>
        <w:pStyle w:val="Heading3"/>
      </w:pPr>
      <w:r>
        <w:t>Next 30 days</w:t>
      </w:r>
    </w:p>
    <w:p>
      <w:pPr>
        <w:pStyle w:val="ListBullet"/>
        <w:spacing w:after="80"/>
      </w:pPr>
      <w:r>
        <w:t>Develop a transition proof pack with first-30, first-60, and first-90-day operating milestones [FILE-01, AWD-01].</w:t>
      </w:r>
    </w:p>
    <w:p>
      <w:pPr>
        <w:pStyle w:val="ListBullet"/>
        <w:spacing w:after="80"/>
      </w:pPr>
      <w:r>
        <w:t>Run a focused incumbent black-hat review around Northstar continuity, pricing posture, and likely technical themes [AWD-01].</w:t>
      </w:r>
    </w:p>
    <w:p>
      <w:pPr>
        <w:pStyle w:val="ListBullet"/>
        <w:spacing w:after="80"/>
      </w:pPr>
      <w:r>
        <w:t>Build a price-to-win range after labor mix and service-level assumptions are extracted from the files [FILE-01, GAP-02].</w:t>
      </w:r>
    </w:p>
    <w:p>
      <w:pPr>
        <w:pStyle w:val="Heading3"/>
      </w:pPr>
      <w:r>
        <w:t>Before bid decision</w:t>
      </w:r>
    </w:p>
    <w:p>
      <w:pPr>
        <w:pStyle w:val="ListBullet"/>
        <w:spacing w:after="80"/>
      </w:pPr>
      <w:r>
        <w:t>Gate the bid on three conditions: named staffing credibility, at least two strong past-performance references, and a price range that supports realistic coverage [FILE-01, GAP-02].</w:t>
      </w:r>
    </w:p>
    <w:p>
      <w:pPr>
        <w:pStyle w:val="ListBullet"/>
        <w:spacing w:after="80"/>
      </w:pPr>
      <w:r>
        <w:t>If any condition fails, consider partner-led pursuit or no-bid rather than submitting a thin challenger proposal [GAP-01, GAP-02].</w:t>
      </w:r>
    </w:p>
    <w:p>
      <w:pPr>
        <w:pStyle w:val="Heading2"/>
      </w:pPr>
      <w:r>
        <w:t>Risks, unknowns, and evidence gaps</w:t>
      </w:r>
    </w:p>
    <w:p>
      <w:pPr>
        <w:pStyle w:val="ListBullet"/>
        <w:spacing w:after="80"/>
      </w:pPr>
      <w:r>
        <w:t>Incumbent confidence gap: the predecessor award is highly suggestive but not explicitly linked in the notice. Validate lineage before making final competitive assumptions [AWD-01, GAP-01].</w:t>
      </w:r>
    </w:p>
    <w:p>
      <w:pPr>
        <w:pStyle w:val="ListBullet"/>
        <w:spacing w:after="80"/>
      </w:pPr>
      <w:r>
        <w:t>Pricing gap: the solicitation files do not yet provide enough structured labor or service-level detail to build a reliable price-to-win range [FILE-01, GAP-02].</w:t>
      </w:r>
    </w:p>
    <w:p>
      <w:pPr>
        <w:pStyle w:val="ListBullet"/>
        <w:spacing w:after="80"/>
      </w:pPr>
      <w:r>
        <w:t>Access gap: contact names exist, but the dossier does not prove relationship depth or customer preference [CNT-01, GAP-01].</w:t>
      </w:r>
    </w:p>
    <w:p>
      <w:pPr>
        <w:pStyle w:val="ListBullet"/>
        <w:spacing w:after="80"/>
      </w:pPr>
      <w:r>
        <w:t>Personalization limit: employer context supports relevance but does not prove the user has staff, past performance, or contract access for this bid [USER-01].</w:t>
      </w:r>
    </w:p>
    <w:p>
      <w:pPr>
        <w:pStyle w:val="Heading2"/>
      </w:pPr>
      <w:r>
        <w:t>Evidence ledger</w:t>
      </w:r>
    </w:p>
    <w:p>
      <w:pPr>
        <w:pStyle w:val="ListBullet"/>
        <w:spacing w:after="80"/>
      </w:pPr>
      <w:r>
        <w:rPr>
          <w:b/>
        </w:rPr>
        <w:t xml:space="preserve">SRC-01: </w:t>
      </w:r>
      <w:r>
        <w:t>Source: Synthetic GovTribe opportunity GT-QA-FCO-001; Source type: Target record; Use in analysis: Status, dates, buyer, opportunity identity, and lifecycle read.; Confidence note: High for sample facts.</w:t>
      </w:r>
    </w:p>
    <w:p>
      <w:pPr>
        <w:pStyle w:val="ListBullet"/>
        <w:spacing w:after="80"/>
      </w:pPr>
      <w:r>
        <w:rPr>
          <w:b/>
        </w:rPr>
        <w:t xml:space="preserve">FILE-01: </w:t>
      </w:r>
      <w:r>
        <w:t>Source: Synthetic solicitation package for Sentinel Cloud Operations Support; Source type: Government file content; Use in analysis: Scope, evaluation factors, compliance, staffing, and proposal strategy.; Confidence note: Moderate-high; sample file summary, not full source text.</w:t>
      </w:r>
    </w:p>
    <w:p>
      <w:pPr>
        <w:pStyle w:val="ListBullet"/>
        <w:spacing w:after="80"/>
      </w:pPr>
      <w:r>
        <w:rPr>
          <w:b/>
        </w:rPr>
        <w:t xml:space="preserve">AWD-01: </w:t>
      </w:r>
      <w:r>
        <w:t>Source: Synthetic predecessor award GT-QA-AWD-019; Source type: Linked award signal; Use in analysis: Incumbent hypothesis, recompete posture, and continuity risk.; Confidence note: Moderate; predecessor is inferred, not explicit.</w:t>
      </w:r>
    </w:p>
    <w:p>
      <w:pPr>
        <w:pStyle w:val="ListBullet"/>
        <w:spacing w:after="80"/>
      </w:pPr>
      <w:r>
        <w:rPr>
          <w:b/>
        </w:rPr>
        <w:t xml:space="preserve">CNT-01: </w:t>
      </w:r>
      <w:r>
        <w:t>Source: Synthetic buyer contact set; Source type: Contact record; Use in analysis: Clarification path and customer-access implications.; Confidence note: Moderate; contact presence does not prove relationship access.</w:t>
      </w:r>
    </w:p>
    <w:p>
      <w:pPr>
        <w:pStyle w:val="ListBullet"/>
        <w:spacing w:after="80"/>
      </w:pPr>
      <w:r>
        <w:rPr>
          <w:b/>
        </w:rPr>
        <w:t xml:space="preserve">USER-01: </w:t>
      </w:r>
      <w:r>
        <w:t>Source: Synthetic GovTribe AI employer and interest context; Source type: Personalization signal; Use in analysis: Tailors emphasis toward cloud and cyber strengths.; Confidence note: Low as source evidence; useful only for relevance.</w:t>
      </w:r>
    </w:p>
    <w:p>
      <w:pPr>
        <w:pStyle w:val="ListBullet"/>
        <w:spacing w:after="80"/>
      </w:pPr>
      <w:r>
        <w:rPr>
          <w:b/>
        </w:rPr>
        <w:t xml:space="preserve">GAP-01: </w:t>
      </w:r>
      <w:r>
        <w:t>Source: Missing explicit incumbent bridge; Source type: Evidence gap; Use in analysis: Limits confidence in incumbent and relationship assumptions.; Confidence note: Important unresolved gap.</w:t>
      </w:r>
    </w:p>
    <w:p>
      <w:pPr>
        <w:pStyle w:val="ListBullet"/>
        <w:spacing w:after="80"/>
      </w:pPr>
      <w:r>
        <w:rPr>
          <w:b/>
        </w:rPr>
        <w:t xml:space="preserve">GAP-02: </w:t>
      </w:r>
      <w:r>
        <w:t>Source: Missing structured pricing basis; Source type: Evidence gap; Use in analysis: Limits price-to-win and staffing realism conclusions.; Confidence note: Important unresolved gap.</w:t>
      </w:r>
    </w:p>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GovTribe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GovTribe</Company>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Dive Dossier: Sentinel Cloud Operations Support</dc:title>
  <dc:subject>GovTribe Deep Dive sample output format</dc:subject>
  <dc:creator>GovTribe</dc:creator>
  <cp:keywords>GovTribe, Deep Dive, BD, capture, sample</cp:keywords>
  <dc:description>generated by python-docx</dc:description>
  <cp:lastModifiedBy/>
  <cp:revision>1</cp:revision>
  <dcterms:created xsi:type="dcterms:W3CDTF">2013-12-23T23:15:00Z</dcterms:created>
  <dcterms:modified xsi:type="dcterms:W3CDTF">2013-12-23T23:15:00Z</dcterms:modified>
  <cp:category/>
</cp:coreProperties>
</file>