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rPr>
          <w:b/>
          <w:bCs/>
          <w:sz w:val="28"/>
          <w:szCs w:val="28"/>
        </w:rPr>
      </w:pPr>
      <w:r>
        <w:rPr>
          <w:b/>
          <w:bCs/>
          <w:sz w:val="28"/>
          <w:szCs w:val="28"/>
        </w:rPr>
        <w:t xml:space="preserve">РУСЕНСКИ УНИВЕРСИТЕТ „АНГЕЛ КЪНЧЕВ“</w:t>
      </w:r>
    </w:p>
    <w:p>
      <w:pPr>
        <w:spacing w:after="40"/>
        <w:jc w:val="center"/>
      </w:pPr>
      <w:r>
        <w:t xml:space="preserve">Факултет „Електротехника, електроника и автоматика“</w:t>
      </w:r>
    </w:p>
    <w:p>
      <w:pPr>
        <w:spacing w:after="0"/>
        <w:jc w:val="center"/>
      </w:pPr>
      <w:r>
        <w:t xml:space="preserve">Катедра „Компютърни системи и технологии“</w:t>
      </w:r>
    </w:p>
    <w:p>
      <w:pPr>
        <w:spacing w:after="120" w:before="2200"/>
        <w:jc w:val="center"/>
        <w:rPr>
          <w:b/>
          <w:bCs/>
          <w:spacing w:val="120"/>
          <w:sz w:val="56"/>
          <w:szCs w:val="56"/>
        </w:rPr>
      </w:pPr>
      <w:r>
        <w:rPr>
          <w:b/>
          <w:bCs/>
          <w:spacing w:val="120"/>
          <w:sz w:val="56"/>
          <w:szCs w:val="56"/>
        </w:rPr>
        <w:t xml:space="preserve">РЕФЕРАТ</w:t>
      </w:r>
    </w:p>
    <w:p>
      <w:pPr>
        <w:spacing w:after="0"/>
        <w:jc w:val="center"/>
        <w:rPr>
          <w:sz w:val="28"/>
          <w:szCs w:val="28"/>
        </w:rPr>
      </w:pPr>
      <w:r>
        <w:rPr>
          <w:sz w:val="28"/>
          <w:szCs w:val="28"/>
        </w:rPr>
        <w:t xml:space="preserve">по дисциплината „Системно програмиране“</w:t>
      </w:r>
    </w:p>
    <w:p>
      <w:pPr>
        <w:spacing w:after="120" w:before="700"/>
        <w:jc w:val="center"/>
        <w:rPr>
          <w:i/>
          <w:iCs/>
        </w:rPr>
      </w:pPr>
      <w:r>
        <w:rPr>
          <w:i/>
          <w:iCs/>
        </w:rPr>
        <w:t xml:space="preserve">на тема:</w:t>
      </w:r>
    </w:p>
    <w:p>
      <w:pPr>
        <w:spacing w:after="40"/>
        <w:jc w:val="center"/>
        <w:rPr>
          <w:b/>
          <w:bCs/>
          <w:sz w:val="32"/>
          <w:szCs w:val="32"/>
        </w:rPr>
      </w:pPr>
      <w:r>
        <w:rPr>
          <w:b/>
          <w:bCs/>
          <w:sz w:val="32"/>
          <w:szCs w:val="32"/>
        </w:rPr>
        <w:t xml:space="preserve">Сравнителен анализ на спецификациите на графичните карти</w:t>
      </w:r>
    </w:p>
    <w:p>
      <w:pPr>
        <w:spacing w:after="0"/>
        <w:jc w:val="center"/>
        <w:rPr>
          <w:b/>
          <w:bCs/>
          <w:sz w:val="32"/>
          <w:szCs w:val="32"/>
        </w:rPr>
      </w:pPr>
      <w:r>
        <w:rPr>
          <w:b/>
          <w:bCs/>
          <w:sz w:val="32"/>
          <w:szCs w:val="32"/>
        </w:rPr>
        <w:t xml:space="preserve">NVIDIA GeForce GTX 780 и AMD Radeon RX Vega 56</w:t>
      </w:r>
    </w:p>
    <w:p>
      <w:pPr>
        <w:spacing w:after="0"/>
      </w:pPr>
    </w:p>
    <w:p>
      <w:pPr>
        <w:spacing w:after="0" w:before="1700"/>
      </w:pP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677"/>
        <w:gridCol w:w="4677"/>
      </w:tblGrid>
      <w:tr>
        <w:tc>
          <w:tcPr>
            <w:tcW w:type="dxa" w:w="4677"/>
          </w:tcPr>
          <w:p>
            <w:pPr>
              <w:spacing w:after="40"/>
              <w:jc w:val="left"/>
            </w:pPr>
            <w:r>
              <w:rPr>
                <w:b/>
                <w:bCs/>
              </w:rPr>
              <w:t xml:space="preserve">Изготвил:</w:t>
            </w:r>
          </w:p>
          <w:p>
            <w:pPr>
              <w:spacing w:after="40"/>
              <w:jc w:val="left"/>
            </w:pPr>
            <w:r>
              <w:rPr>
                <w:b w:val="false"/>
                <w:bCs w:val="false"/>
              </w:rPr>
              <w:t xml:space="preserve">Константин Христианов Ганев</w:t>
            </w:r>
          </w:p>
          <w:p>
            <w:pPr>
              <w:spacing w:after="40"/>
              <w:jc w:val="left"/>
            </w:pPr>
            <w:r>
              <w:rPr>
                <w:b w:val="false"/>
                <w:bCs w:val="false"/>
              </w:rPr>
              <w:t xml:space="preserve">ФН 243020, група 25Р</w:t>
            </w:r>
          </w:p>
          <w:p>
            <w:pPr>
              <w:spacing w:after="40"/>
              <w:jc w:val="left"/>
            </w:pPr>
            <w:r>
              <w:rPr>
                <w:b w:val="false"/>
                <w:bCs w:val="false"/>
              </w:rPr>
              <w:t xml:space="preserve">специалност КСТ, III курс</w:t>
            </w:r>
          </w:p>
          <w:p>
            <w:pPr>
              <w:spacing w:after="40"/>
              <w:jc w:val="left"/>
            </w:pPr>
            <w:r>
              <w:rPr>
                <w:b w:val="false"/>
                <w:bCs w:val="false"/>
              </w:rPr>
              <w:t xml:space="preserve">задочно обучение</w:t>
            </w:r>
          </w:p>
        </w:tc>
        <w:tc>
          <w:tcPr>
            <w:tcW w:type="dxa" w:w="4677"/>
          </w:tcPr>
          <w:p>
            <w:pPr>
              <w:spacing w:after="40"/>
              <w:jc w:val="right"/>
            </w:pPr>
            <w:r>
              <w:rPr>
                <w:b/>
                <w:bCs/>
              </w:rPr>
              <w:t xml:space="preserve">Проверил:</w:t>
            </w:r>
          </w:p>
          <w:p>
            <w:pPr>
              <w:spacing w:after="40"/>
              <w:jc w:val="right"/>
            </w:pPr>
          </w:p>
          <w:p>
            <w:pPr>
              <w:spacing w:after="40"/>
              <w:jc w:val="right"/>
            </w:pPr>
            <w:r>
              <w:rPr>
                <w:b w:val="false"/>
                <w:bCs w:val="false"/>
              </w:rPr>
              <w:t xml:space="preserve">...........................................</w:t>
            </w:r>
          </w:p>
          <w:p>
            <w:pPr>
              <w:spacing w:after="40"/>
              <w:jc w:val="right"/>
            </w:pPr>
            <w:r>
              <w:rPr>
                <w:b w:val="false"/>
                <w:bCs w:val="false"/>
              </w:rPr>
              <w:t xml:space="preserve">(име и подпис)</w:t>
            </w:r>
          </w:p>
        </w:tc>
      </w:tr>
    </w:tbl>
    <w:p>
      <w:pPr>
        <w:spacing w:after="0" w:before="1500"/>
        <w:jc w:val="center"/>
        <w:rPr>
          <w:b/>
          <w:bCs/>
        </w:rPr>
      </w:pPr>
      <w:r>
        <w:rPr>
          <w:b/>
          <w:bCs/>
        </w:rPr>
        <w:t xml:space="preserve">Русе, 2026</w:t>
      </w:r>
    </w:p>
    <w:p>
      <w:pPr>
        <w:pageBreakBefore/>
        <w:spacing w:after="120"/>
        <w:jc w:val="center"/>
      </w:pPr>
      <w:r>
        <w:rPr>
          <w:rFonts w:ascii="Arial" w:cs="Arial" w:eastAsia="Arial" w:hAnsi="Arial"/>
          <w:b/>
          <w:bCs/>
          <w:sz w:val="32"/>
          <w:szCs w:val="32"/>
        </w:rPr>
        <w:t xml:space="preserve">ЗАДАНИЕ</w:t>
      </w:r>
    </w:p>
    <w:p>
      <w:pPr>
        <w:spacing w:after="40"/>
        <w:jc w:val="center"/>
      </w:pPr>
      <w:r>
        <w:t xml:space="preserve">за реферат по дисциплината „Системно програмиране“</w:t>
      </w:r>
    </w:p>
    <w:p>
      <w:pPr>
        <w:spacing w:after="360"/>
        <w:jc w:val="center"/>
      </w:pPr>
      <w:r>
        <w:t xml:space="preserve">III курс КСТ, задочно обучение, зимен семестър 2026/2027 г.</w:t>
      </w:r>
    </w:p>
    <w:tbl>
      <w:tblPr>
        <w:tblW w:type="dxa" w:w="9355"/>
        <w:tblBorders>
          <w:top w:val="single" w:color="BFC4CC" w:sz="4"/>
          <w:left w:val="none" w:color="FFFFFF" w:sz="0"/>
          <w:bottom w:val="single" w:color="BFC4CC" w:sz="4"/>
          <w:right w:val="none" w:color="FFFFFF" w:sz="0"/>
          <w:insideH w:val="single" w:color="BFC4CC" w:sz="4"/>
          <w:insideV w:val="none" w:color="FFFFFF" w:sz="0"/>
        </w:tblBorders>
      </w:tblPr>
      <w:tblGrid>
        <w:gridCol w:w="3355"/>
        <w:gridCol w:w="6000"/>
      </w:tblGrid>
      <w:tr>
        <w:trPr>
          <w:tblHeader/>
        </w:trPr>
        <w:tc>
          <w:tcPr>
            <w:tcW w:type="dxa" w:w="3355"/>
            <w:shd w:fill="E9EBEF" w:color="auto" w:val="clear"/>
            <w:tcMar>
              <w:top w:type="dxa" w:w="50"/>
              <w:left w:type="dxa" w:w="110"/>
              <w:bottom w:type="dxa" w:w="50"/>
              <w:right w:type="dxa" w:w="110"/>
            </w:tcMar>
            <w:vAlign w:val="center"/>
          </w:tcPr>
          <w:p>
            <w:pPr>
              <w:spacing w:after="0" w:line="252"/>
              <w:jc w:val="left"/>
            </w:pPr>
            <w:r>
              <w:rPr>
                <w:b/>
                <w:bCs/>
                <w:color w:val="1A1F29"/>
                <w:sz w:val="21"/>
                <w:szCs w:val="21"/>
              </w:rPr>
              <w:t xml:space="preserve">Данни за студента</w:t>
            </w:r>
          </w:p>
        </w:tc>
        <w:tc>
          <w:tcPr>
            <w:tcW w:type="dxa" w:w="6000"/>
            <w:shd w:fill="E9EBEF" w:color="auto" w:val="clear"/>
            <w:tcMar>
              <w:top w:type="dxa" w:w="50"/>
              <w:left w:type="dxa" w:w="110"/>
              <w:bottom w:type="dxa" w:w="50"/>
              <w:right w:type="dxa" w:w="110"/>
            </w:tcMar>
            <w:vAlign w:val="center"/>
          </w:tcPr>
          <w:p>
            <w:pPr>
              <w:spacing w:after="0" w:line="252"/>
              <w:jc w:val="left"/>
            </w:pP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Име</w:t>
            </w:r>
          </w:p>
        </w:tc>
        <w:tc>
          <w:tcPr>
            <w:tcW w:type="dxa" w:w="6000"/>
            <w:tcMar>
              <w:top w:type="dxa" w:w="50"/>
              <w:left w:type="dxa" w:w="110"/>
              <w:bottom w:type="dxa" w:w="50"/>
              <w:right w:type="dxa" w:w="110"/>
            </w:tcMar>
            <w:vAlign w:val="center"/>
          </w:tcPr>
          <w:p>
            <w:pPr>
              <w:spacing w:after="0" w:line="252"/>
              <w:jc w:val="left"/>
            </w:pPr>
            <w:r>
              <w:rPr>
                <w:color w:val="1A1F29"/>
                <w:sz w:val="21"/>
                <w:szCs w:val="21"/>
              </w:rPr>
              <w:t xml:space="preserve">Константин Христианов Ганев</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Факултетен номер</w:t>
            </w:r>
          </w:p>
        </w:tc>
        <w:tc>
          <w:tcPr>
            <w:tcW w:type="dxa" w:w="6000"/>
            <w:tcMar>
              <w:top w:type="dxa" w:w="50"/>
              <w:left w:type="dxa" w:w="110"/>
              <w:bottom w:type="dxa" w:w="50"/>
              <w:right w:type="dxa" w:w="110"/>
            </w:tcMar>
            <w:vAlign w:val="center"/>
          </w:tcPr>
          <w:p>
            <w:pPr>
              <w:spacing w:after="0" w:line="252"/>
              <w:jc w:val="left"/>
            </w:pPr>
            <w:r>
              <w:rPr>
                <w:color w:val="1A1F29"/>
                <w:sz w:val="21"/>
                <w:szCs w:val="21"/>
              </w:rPr>
              <w:t xml:space="preserve">243020</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Група</w:t>
            </w:r>
          </w:p>
        </w:tc>
        <w:tc>
          <w:tcPr>
            <w:tcW w:type="dxa" w:w="6000"/>
            <w:tcMar>
              <w:top w:type="dxa" w:w="50"/>
              <w:left w:type="dxa" w:w="110"/>
              <w:bottom w:type="dxa" w:w="50"/>
              <w:right w:type="dxa" w:w="110"/>
            </w:tcMar>
            <w:vAlign w:val="center"/>
          </w:tcPr>
          <w:p>
            <w:pPr>
              <w:spacing w:after="0" w:line="252"/>
              <w:jc w:val="left"/>
            </w:pPr>
            <w:r>
              <w:rPr>
                <w:color w:val="1A1F29"/>
                <w:sz w:val="21"/>
                <w:szCs w:val="21"/>
              </w:rPr>
              <w:t xml:space="preserve">25Р</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Номера от списъка със задания</w:t>
            </w:r>
          </w:p>
        </w:tc>
        <w:tc>
          <w:tcPr>
            <w:tcW w:type="dxa" w:w="6000"/>
            <w:tcMar>
              <w:top w:type="dxa" w:w="50"/>
              <w:left w:type="dxa" w:w="110"/>
              <w:bottom w:type="dxa" w:w="50"/>
              <w:right w:type="dxa" w:w="110"/>
            </w:tcMar>
            <w:vAlign w:val="center"/>
          </w:tcPr>
          <w:p>
            <w:pPr>
              <w:spacing w:after="0" w:line="252"/>
              <w:jc w:val="left"/>
            </w:pPr>
            <w:r>
              <w:rPr>
                <w:color w:val="1A1F29"/>
                <w:sz w:val="21"/>
                <w:szCs w:val="21"/>
              </w:rPr>
              <w:t xml:space="preserve">4.5 (NVIDIA) и 5.11 (AMD)</w:t>
            </w:r>
          </w:p>
        </w:tc>
      </w:tr>
    </w:tbl>
    <w:p>
      <w:pPr>
        <w:spacing w:after="120" w:before="360"/>
      </w:pPr>
      <w:r>
        <w:rPr>
          <w:b/>
          <w:bCs/>
        </w:rPr>
        <w:t xml:space="preserve">Задание:</w:t>
      </w:r>
    </w:p>
    <w:p>
      <w:pPr>
        <w:ind w:firstLine="709"/>
        <w:jc w:val="both"/>
        <w:rPr>
          <w:i/>
          <w:iCs/>
        </w:rPr>
      </w:pPr>
      <w:r>
        <w:rPr>
          <w:i/>
          <w:iCs/>
        </w:rPr>
        <w:t xml:space="preserve">Да се извърши сравнение и анализ на спецификациите на две графични карти: </w:t>
      </w:r>
      <w:r>
        <w:rPr>
          <w:b/>
          <w:bCs/>
          <w:i/>
          <w:iCs/>
        </w:rPr>
        <w:t xml:space="preserve">GeForce GTX 780</w:t>
      </w:r>
      <w:r>
        <w:rPr>
          <w:i/>
          <w:iCs/>
        </w:rPr>
        <w:t xml:space="preserve"> и </w:t>
      </w:r>
      <w:r>
        <w:rPr>
          <w:b/>
          <w:bCs/>
          <w:i/>
          <w:iCs/>
        </w:rPr>
        <w:t xml:space="preserve">Radeon RX Vega 56</w:t>
      </w:r>
      <w:r>
        <w:rPr>
          <w:i/>
          <w:iCs/>
        </w:rPr>
        <w:t xml:space="preserve">. Изборът на конкретна карта и производител е свободен. Да се направи PowerPoint презентация и да се докладва в рамките на 10 минути.</w:t>
      </w:r>
    </w:p>
    <w:p>
      <w:pPr>
        <w:spacing w:after="120" w:before="240"/>
      </w:pPr>
      <w:r>
        <w:rPr>
          <w:b/>
          <w:bCs/>
        </w:rPr>
        <w:t xml:space="preserve">Съдържание на обяснителната записка:</w:t>
      </w:r>
    </w:p>
    <w:p>
      <w:pPr>
        <w:pStyle w:val="ListParagraph"/>
        <w:numPr>
          <w:ilvl w:val="0"/>
          <w:numId w:val="2"/>
        </w:numPr>
        <w:jc w:val="both"/>
      </w:pPr>
      <w:r>
        <w:t xml:space="preserve">заглавна страница;</w:t>
      </w:r>
    </w:p>
    <w:p>
      <w:pPr>
        <w:pStyle w:val="ListParagraph"/>
        <w:numPr>
          <w:ilvl w:val="0"/>
          <w:numId w:val="2"/>
        </w:numPr>
        <w:jc w:val="both"/>
      </w:pPr>
      <w:r>
        <w:t xml:space="preserve">задание;</w:t>
      </w:r>
    </w:p>
    <w:p>
      <w:pPr>
        <w:pStyle w:val="ListParagraph"/>
        <w:numPr>
          <w:ilvl w:val="0"/>
          <w:numId w:val="2"/>
        </w:numPr>
        <w:jc w:val="both"/>
      </w:pPr>
      <w:r>
        <w:t xml:space="preserve">текст на реферата;</w:t>
      </w:r>
    </w:p>
    <w:p>
      <w:pPr>
        <w:pStyle w:val="ListParagraph"/>
        <w:numPr>
          <w:ilvl w:val="0"/>
          <w:numId w:val="2"/>
        </w:numPr>
        <w:jc w:val="both"/>
      </w:pPr>
      <w:r>
        <w:t xml:space="preserve">списък на използваните източници на информация.</w:t>
      </w:r>
    </w:p>
    <w:p>
      <w:pPr>
        <w:pageBreakBefore/>
        <w:spacing w:after="360"/>
        <w:jc w:val="center"/>
      </w:pPr>
      <w:r>
        <w:rPr>
          <w:rFonts w:ascii="Arial" w:cs="Arial" w:eastAsia="Arial" w:hAnsi="Arial"/>
          <w:b/>
          <w:bCs/>
          <w:sz w:val="32"/>
          <w:szCs w:val="32"/>
        </w:rPr>
        <w:t xml:space="preserve">СЪДЪРЖАНИЕ</w:t>
      </w:r>
    </w:p>
    <w:p>
      <w:pPr>
        <w:tabs>
          <w:tab w:val="right" w:pos="9355" w:leader="dot"/>
        </w:tabs>
        <w:spacing w:after="80"/>
        <w:ind w:left="0"/>
      </w:pPr>
      <w:r>
        <w:rPr>
          <w:b/>
          <w:bCs/>
        </w:rPr>
        <w:t xml:space="preserve">1. Увод</w:t>
      </w:r>
      <w:r>
        <w:tab/>
        <w:t xml:space="preserve">4</w:t>
      </w:r>
    </w:p>
    <w:p>
      <w:pPr>
        <w:tabs>
          <w:tab w:val="right" w:pos="9355" w:leader="dot"/>
        </w:tabs>
        <w:spacing w:after="80"/>
        <w:ind w:left="0"/>
      </w:pPr>
      <w:r>
        <w:rPr>
          <w:b/>
          <w:bCs/>
        </w:rPr>
        <w:t xml:space="preserve">2. Критерии и методика на сравнението</w:t>
      </w:r>
      <w:r>
        <w:tab/>
        <w:t xml:space="preserve">4</w:t>
      </w:r>
    </w:p>
    <w:p>
      <w:pPr>
        <w:tabs>
          <w:tab w:val="right" w:pos="9355" w:leader="dot"/>
        </w:tabs>
        <w:spacing w:after="80"/>
        <w:ind w:left="0"/>
      </w:pPr>
      <w:r>
        <w:rPr>
          <w:b/>
          <w:bCs/>
        </w:rPr>
        <w:t xml:space="preserve">3. Обща характеристика на двете карти</w:t>
      </w:r>
      <w:r>
        <w:tab/>
        <w:t xml:space="preserve">5</w:t>
      </w:r>
    </w:p>
    <w:p>
      <w:pPr>
        <w:tabs>
          <w:tab w:val="right" w:pos="9355" w:leader="dot"/>
        </w:tabs>
        <w:spacing w:after="40"/>
        <w:ind w:left="425"/>
      </w:pPr>
      <w:r>
        <w:rPr>
          <w:b w:val="false"/>
          <w:bCs w:val="false"/>
        </w:rPr>
        <w:t xml:space="preserve">3.1. NVIDIA GeForce GTX 780</w:t>
      </w:r>
      <w:r>
        <w:tab/>
        <w:t xml:space="preserve">5</w:t>
      </w:r>
    </w:p>
    <w:p>
      <w:pPr>
        <w:tabs>
          <w:tab w:val="right" w:pos="9355" w:leader="dot"/>
        </w:tabs>
        <w:spacing w:after="40"/>
        <w:ind w:left="425"/>
      </w:pPr>
      <w:r>
        <w:rPr>
          <w:b w:val="false"/>
          <w:bCs w:val="false"/>
        </w:rPr>
        <w:t xml:space="preserve">3.2. AMD Radeon RX Vega 56</w:t>
      </w:r>
      <w:r>
        <w:tab/>
        <w:t xml:space="preserve">5</w:t>
      </w:r>
    </w:p>
    <w:p>
      <w:pPr>
        <w:tabs>
          <w:tab w:val="right" w:pos="9355" w:leader="dot"/>
        </w:tabs>
        <w:spacing w:after="80"/>
        <w:ind w:left="0"/>
      </w:pPr>
      <w:r>
        <w:rPr>
          <w:b/>
          <w:bCs/>
        </w:rPr>
        <w:t xml:space="preserve">4. Архитектура</w:t>
      </w:r>
      <w:r>
        <w:tab/>
        <w:t xml:space="preserve">5</w:t>
      </w:r>
    </w:p>
    <w:p>
      <w:pPr>
        <w:tabs>
          <w:tab w:val="right" w:pos="9355" w:leader="dot"/>
        </w:tabs>
        <w:spacing w:after="40"/>
        <w:ind w:left="425"/>
      </w:pPr>
      <w:r>
        <w:rPr>
          <w:b w:val="false"/>
          <w:bCs w:val="false"/>
        </w:rPr>
        <w:t xml:space="preserve">4.1. Kepler и чипът GK110</w:t>
      </w:r>
      <w:r>
        <w:tab/>
        <w:t xml:space="preserve">5</w:t>
      </w:r>
    </w:p>
    <w:p>
      <w:pPr>
        <w:tabs>
          <w:tab w:val="right" w:pos="9355" w:leader="dot"/>
        </w:tabs>
        <w:spacing w:after="40"/>
        <w:ind w:left="425"/>
      </w:pPr>
      <w:r>
        <w:rPr>
          <w:b w:val="false"/>
          <w:bCs w:val="false"/>
        </w:rPr>
        <w:t xml:space="preserve">4.2. GCN 5 и чипът Vega 10</w:t>
      </w:r>
      <w:r>
        <w:tab/>
        <w:t xml:space="preserve">6</w:t>
      </w:r>
    </w:p>
    <w:p>
      <w:pPr>
        <w:tabs>
          <w:tab w:val="right" w:pos="9355" w:leader="dot"/>
        </w:tabs>
        <w:spacing w:after="40"/>
        <w:ind w:left="425"/>
      </w:pPr>
      <w:r>
        <w:rPr>
          <w:b w:val="false"/>
          <w:bCs w:val="false"/>
        </w:rPr>
        <w:t xml:space="preserve">4.3. Warp и wavefront: значение за програмиста</w:t>
      </w:r>
      <w:r>
        <w:tab/>
        <w:t xml:space="preserve">6</w:t>
      </w:r>
    </w:p>
    <w:p>
      <w:pPr>
        <w:tabs>
          <w:tab w:val="right" w:pos="9355" w:leader="dot"/>
        </w:tabs>
        <w:spacing w:after="80"/>
        <w:ind w:left="0"/>
      </w:pPr>
      <w:r>
        <w:rPr>
          <w:b/>
          <w:bCs/>
        </w:rPr>
        <w:t xml:space="preserve">5. Технологичен процес</w:t>
      </w:r>
      <w:r>
        <w:tab/>
        <w:t xml:space="preserve">7</w:t>
      </w:r>
    </w:p>
    <w:p>
      <w:pPr>
        <w:tabs>
          <w:tab w:val="right" w:pos="9355" w:leader="dot"/>
        </w:tabs>
        <w:spacing w:after="80"/>
        <w:ind w:left="0"/>
      </w:pPr>
      <w:r>
        <w:rPr>
          <w:b/>
          <w:bCs/>
        </w:rPr>
        <w:t xml:space="preserve">6. Изчислителни ресурси</w:t>
      </w:r>
      <w:r>
        <w:tab/>
        <w:t xml:space="preserve">8</w:t>
      </w:r>
    </w:p>
    <w:p>
      <w:pPr>
        <w:tabs>
          <w:tab w:val="right" w:pos="9355" w:leader="dot"/>
        </w:tabs>
        <w:spacing w:after="80"/>
        <w:ind w:left="0"/>
      </w:pPr>
      <w:r>
        <w:rPr>
          <w:b/>
          <w:bCs/>
        </w:rPr>
        <w:t xml:space="preserve">7. Видеопамет</w:t>
      </w:r>
      <w:r>
        <w:tab/>
        <w:t xml:space="preserve">9</w:t>
      </w:r>
    </w:p>
    <w:p>
      <w:pPr>
        <w:tabs>
          <w:tab w:val="right" w:pos="9355" w:leader="dot"/>
        </w:tabs>
        <w:spacing w:after="80"/>
        <w:ind w:left="0"/>
      </w:pPr>
      <w:r>
        <w:rPr>
          <w:b/>
          <w:bCs/>
        </w:rPr>
        <w:t xml:space="preserve">8. Енергопотребление и ефективност</w:t>
      </w:r>
      <w:r>
        <w:tab/>
        <w:t xml:space="preserve">10</w:t>
      </w:r>
    </w:p>
    <w:p>
      <w:pPr>
        <w:tabs>
          <w:tab w:val="right" w:pos="9355" w:leader="dot"/>
        </w:tabs>
        <w:spacing w:after="80"/>
        <w:ind w:left="0"/>
      </w:pPr>
      <w:r>
        <w:rPr>
          <w:b/>
          <w:bCs/>
        </w:rPr>
        <w:t xml:space="preserve">9. Поддържани API и програмен модел</w:t>
      </w:r>
      <w:r>
        <w:tab/>
        <w:t xml:space="preserve">10</w:t>
      </w:r>
    </w:p>
    <w:p>
      <w:pPr>
        <w:tabs>
          <w:tab w:val="right" w:pos="9355" w:leader="dot"/>
        </w:tabs>
        <w:spacing w:after="80"/>
        <w:ind w:left="0"/>
      </w:pPr>
      <w:r>
        <w:rPr>
          <w:b/>
          <w:bCs/>
        </w:rPr>
        <w:t xml:space="preserve">10. Производителност в тестове</w:t>
      </w:r>
      <w:r>
        <w:tab/>
        <w:t xml:space="preserve">12</w:t>
      </w:r>
    </w:p>
    <w:p>
      <w:pPr>
        <w:tabs>
          <w:tab w:val="right" w:pos="9355" w:leader="dot"/>
        </w:tabs>
        <w:spacing w:after="80"/>
        <w:ind w:left="0"/>
      </w:pPr>
      <w:r>
        <w:rPr>
          <w:b/>
          <w:bCs/>
        </w:rPr>
        <w:t xml:space="preserve">11. Цена и софтуерна поддръжка</w:t>
      </w:r>
      <w:r>
        <w:tab/>
        <w:t xml:space="preserve">13</w:t>
      </w:r>
    </w:p>
    <w:p>
      <w:pPr>
        <w:tabs>
          <w:tab w:val="right" w:pos="9355" w:leader="dot"/>
        </w:tabs>
        <w:spacing w:after="80"/>
        <w:ind w:left="0"/>
      </w:pPr>
      <w:r>
        <w:rPr>
          <w:b/>
          <w:bCs/>
        </w:rPr>
        <w:t xml:space="preserve">12. Обобщение и изводи</w:t>
      </w:r>
      <w:r>
        <w:tab/>
        <w:t xml:space="preserve">13</w:t>
      </w:r>
    </w:p>
    <w:p>
      <w:pPr>
        <w:tabs>
          <w:tab w:val="right" w:pos="9355" w:leader="dot"/>
        </w:tabs>
        <w:spacing w:after="80"/>
        <w:ind w:left="0"/>
      </w:pPr>
      <w:r>
        <w:rPr>
          <w:b/>
          <w:bCs/>
        </w:rPr>
        <w:t xml:space="preserve">Речник на използваните термини</w:t>
      </w:r>
      <w:r>
        <w:tab/>
        <w:t xml:space="preserve">15</w:t>
      </w:r>
    </w:p>
    <w:p>
      <w:pPr>
        <w:tabs>
          <w:tab w:val="right" w:pos="9355" w:leader="dot"/>
        </w:tabs>
        <w:spacing w:after="80"/>
        <w:ind w:left="0"/>
      </w:pPr>
      <w:r>
        <w:rPr>
          <w:b/>
          <w:bCs/>
        </w:rPr>
        <w:t xml:space="preserve">Използвани източници</w:t>
      </w:r>
      <w:r>
        <w:tab/>
        <w:t xml:space="preserve">15</w:t>
      </w:r>
    </w:p>
    <w:p>
      <w:pPr>
        <w:pStyle w:val="Heading1"/>
        <w:pageBreakBefore/>
      </w:pPr>
      <w:r>
        <w:t xml:space="preserve">1. Увод</w:t>
      </w:r>
    </w:p>
    <w:p>
      <w:pPr>
        <w:ind w:firstLine="709"/>
        <w:jc w:val="both"/>
      </w:pPr>
      <w:r>
        <w:t xml:space="preserve">Графичният процесор (GPU) отдавна не служи само за изобразяване на картина на екрана. Днес на него се изпълняват и изчисления с общо предназначение: обработка на видео, научни симулации, машинно обучение. Затова начинът, по който е устроен, има пряко отношение към системното програмиране. От архитектурата зависят организацията на нишките, достъпът до паметта и програмните интерфейси, с които разполага разработчикът.</w:t>
      </w:r>
    </w:p>
    <w:p>
      <w:pPr>
        <w:ind w:firstLine="709"/>
        <w:jc w:val="both"/>
      </w:pPr>
      <w:r>
        <w:t xml:space="preserve">Настоящият реферат сравнява две графични карти от различни производители и поколения: NVIDIA GeForce GTX 780 от 2013 г. и AMD Radeon RX Vega 56 от 2017 г. Четирите години между тях обхващат няколко съществени промени в индустрията – преход от 28-нанометрови планарни транзистори към 14-нанометрови FinFET, нов тип видеопамет (HBM2 вместо GDDR5) и появата на нисконивови графични API като DirectX 12 и Vulkan.</w:t>
      </w:r>
    </w:p>
    <w:p>
      <w:pPr>
        <w:ind w:firstLine="709"/>
        <w:jc w:val="both"/>
      </w:pPr>
      <w:r>
        <w:t xml:space="preserve">Целта е не само да се установи коя карта е по-производителна, а и да се обясни на какво се дължи разликата: доколко тя идва от технологичния процес, доколко от архитектурата и паметта и как отделните параметри се отразяват в реални тестове. Към записката е изготвена и PowerPoint презентация за десетминутно представяне.</w:t>
      </w:r>
    </w:p>
    <w:p>
      <w:pPr>
        <w:pStyle w:val="Heading1"/>
      </w:pPr>
      <w:r>
        <w:t xml:space="preserve">2. Критерии и методика на сравнението</w:t>
      </w:r>
    </w:p>
    <w:p>
      <w:pPr>
        <w:ind w:firstLine="709"/>
        <w:jc w:val="both"/>
      </w:pPr>
      <w:r>
        <w:t xml:space="preserve">Регламентът оставя избора на критерии на студента. Сравнението е подредено в осем критерия – от вътрешното устройство на чипа към практическото използване на картата:</w:t>
      </w:r>
    </w:p>
    <w:p>
      <w:pPr>
        <w:pStyle w:val="ListParagraph"/>
        <w:numPr>
          <w:ilvl w:val="0"/>
          <w:numId w:val="3"/>
        </w:numPr>
        <w:jc w:val="both"/>
      </w:pPr>
      <w:r>
        <w:t xml:space="preserve">архитектура – как са организирани изчислителните блокове и нишките;</w:t>
      </w:r>
    </w:p>
    <w:p>
      <w:pPr>
        <w:pStyle w:val="ListParagraph"/>
        <w:numPr>
          <w:ilvl w:val="0"/>
          <w:numId w:val="3"/>
        </w:numPr>
        <w:jc w:val="both"/>
      </w:pPr>
      <w:r>
        <w:t xml:space="preserve">технологичен процес – нанометри, брой транзистори, площ на кристала;</w:t>
      </w:r>
    </w:p>
    <w:p>
      <w:pPr>
        <w:pStyle w:val="ListParagraph"/>
        <w:numPr>
          <w:ilvl w:val="0"/>
          <w:numId w:val="3"/>
        </w:numPr>
        <w:jc w:val="both"/>
      </w:pPr>
      <w:r>
        <w:t xml:space="preserve">изчислителни ресурси – брой шейдърни единици, тактови честоти, теоретична производителност;</w:t>
      </w:r>
    </w:p>
    <w:p>
      <w:pPr>
        <w:pStyle w:val="ListParagraph"/>
        <w:numPr>
          <w:ilvl w:val="0"/>
          <w:numId w:val="3"/>
        </w:numPr>
        <w:jc w:val="both"/>
      </w:pPr>
      <w:r>
        <w:t xml:space="preserve">видеопамет – тип, обем, ширина на шината и пропускателна способност;</w:t>
      </w:r>
    </w:p>
    <w:p>
      <w:pPr>
        <w:pStyle w:val="ListParagraph"/>
        <w:numPr>
          <w:ilvl w:val="0"/>
          <w:numId w:val="3"/>
        </w:numPr>
        <w:jc w:val="both"/>
      </w:pPr>
      <w:r>
        <w:t xml:space="preserve">енергопотребление и ефективност;</w:t>
      </w:r>
    </w:p>
    <w:p>
      <w:pPr>
        <w:pStyle w:val="ListParagraph"/>
        <w:numPr>
          <w:ilvl w:val="0"/>
          <w:numId w:val="3"/>
        </w:numPr>
        <w:jc w:val="both"/>
      </w:pPr>
      <w:r>
        <w:t xml:space="preserve">поддържани API и програмен модел;</w:t>
      </w:r>
    </w:p>
    <w:p>
      <w:pPr>
        <w:pStyle w:val="ListParagraph"/>
        <w:numPr>
          <w:ilvl w:val="0"/>
          <w:numId w:val="3"/>
        </w:numPr>
        <w:jc w:val="both"/>
      </w:pPr>
      <w:r>
        <w:t xml:space="preserve">производителност в синтетични тестове;</w:t>
      </w:r>
    </w:p>
    <w:p>
      <w:pPr>
        <w:pStyle w:val="ListParagraph"/>
        <w:numPr>
          <w:ilvl w:val="0"/>
          <w:numId w:val="3"/>
        </w:numPr>
        <w:jc w:val="both"/>
      </w:pPr>
      <w:r>
        <w:t xml:space="preserve">цена и софтуерна поддръжка.</w:t>
      </w:r>
    </w:p>
    <w:p>
      <w:pPr>
        <w:ind w:firstLine="709"/>
        <w:jc w:val="both"/>
      </w:pPr>
      <w:r>
        <w:t xml:space="preserve">Спецификациите са взети от базата данни на TechPowerUp и от Wikipedia, които обобщават официалните данни на NVIDIA и AMD. За производителността са използвани два независими източника: средният резултат в PassMark G3D Mark, получен от хиляди потребителски компютри, и измерванията на германското издание ComputerBase с теста 3DMark Time Spy. Производните величини (теоретична производителност, ефективност на ват, плътност на транзисторите) са изчислени по една и съща формула и за двете карти, за да бъдат съпоставими. Цените са препоръчителните цени при излизане на пазара (MSRP) в щатски долари.</w:t>
      </w:r>
    </w:p>
    <w:p>
      <w:pPr>
        <w:pStyle w:val="Heading1"/>
      </w:pPr>
      <w:r>
        <w:t xml:space="preserve">3. Обща характеристика на двете карти</w:t>
      </w:r>
    </w:p>
    <w:p>
      <w:pPr>
        <w:pStyle w:val="Heading2"/>
      </w:pPr>
      <w:r>
        <w:t xml:space="preserve">3.1. NVIDIA GeForce GTX 780</w:t>
      </w:r>
    </w:p>
    <w:p>
      <w:pPr>
        <w:ind w:firstLine="709"/>
        <w:jc w:val="both"/>
      </w:pPr>
      <w:r>
        <w:t xml:space="preserve">NVIDIA представя GeForce GTX 780 на 23 май 2013 г. Картата е изградена върху графичния процесор GK110 от архитектурата Kepler – същия чип, който стои в основата на GeForce GTX Titan и на изчислителните ускорители Tesla K20. При GTX 780 част от изчислителните блокове на чипа са изключени, а видеопаметта е 3 GB вместо 6 GB при Titan. Към момента на излизането си това е втората по производителност карта в гамата GeForce, с препоръчителна цена 649 $. Пет месеца по-късно, след появата на конкурентната Radeon R9 290X, NVIDIA намалява цената ѝ до 499 $ (от 29 октомври 2013 г.).</w:t>
      </w:r>
    </w:p>
    <w:p>
      <w:pPr>
        <w:pStyle w:val="Heading2"/>
      </w:pPr>
      <w:r>
        <w:t xml:space="preserve">3.2. AMD Radeon RX Vega 56</w:t>
      </w:r>
    </w:p>
    <w:p>
      <w:pPr>
        <w:ind w:firstLine="709"/>
        <w:jc w:val="both"/>
      </w:pPr>
      <w:r>
        <w:t xml:space="preserve">AMD пуска серията Radeon RX Vega през август 2017 г. RX Vega 56 е по-достъпният от двата модела в нея и се продава от 28 август 2017 г. с препоръчителна цена 399 $. Картата използва чипа Vega 10 от петото поколение на архитектурата Graphics Core Next (GCN 5). Както подсказва името, от 64-те изчислителни единици на чипа са активни 56. По производителност и цена RX Vega 56 е насочена срещу GeForce GTX 1070 (379 $).</w:t>
      </w:r>
    </w:p>
    <w:p>
      <w:pPr>
        <w:ind w:firstLine="709"/>
        <w:jc w:val="both"/>
      </w:pPr>
      <w:r>
        <w:t xml:space="preserve">Двете карти имат една обща черта: и двете са непълни версии на най-големия графичен чип на съответния производител към момента. Така сравнението на практика е и сравнение между чиповете GK110 и Vega 10. Основните данни са обобщени в табл. 1.</w:t>
      </w:r>
    </w:p>
    <w:p>
      <w:pPr>
        <w:keepNext/>
        <w:spacing w:after="80" w:before="200"/>
      </w:pPr>
      <w:r>
        <w:rPr>
          <w:i/>
          <w:iCs/>
          <w:color w:val="5B6372"/>
          <w:sz w:val="22"/>
          <w:szCs w:val="22"/>
        </w:rPr>
        <w:t xml:space="preserve">Таблица 1. Обща информация</w:t>
      </w:r>
    </w:p>
    <w:tbl>
      <w:tblPr>
        <w:tblW w:type="dxa" w:w="9355"/>
        <w:tblBorders>
          <w:top w:val="single" w:color="BFC4CC" w:sz="4"/>
          <w:left w:val="none" w:color="FFFFFF" w:sz="0"/>
          <w:bottom w:val="single" w:color="BFC4CC" w:sz="4"/>
          <w:right w:val="none" w:color="FFFFFF" w:sz="0"/>
          <w:insideH w:val="single" w:color="BFC4CC" w:sz="4"/>
          <w:insideV w:val="none" w:color="FFFFFF" w:sz="0"/>
        </w:tblBorders>
      </w:tblPr>
      <w:tblGrid>
        <w:gridCol w:w="3355"/>
        <w:gridCol w:w="3000"/>
        <w:gridCol w:w="3000"/>
      </w:tblGrid>
      <w:tr>
        <w:trPr>
          <w:tblHeader/>
        </w:trPr>
        <w:tc>
          <w:tcPr>
            <w:tcW w:type="dxa" w:w="3355"/>
            <w:shd w:fill="E9EBEF" w:color="auto" w:val="clear"/>
            <w:tcMar>
              <w:top w:type="dxa" w:w="50"/>
              <w:left w:type="dxa" w:w="110"/>
              <w:bottom w:type="dxa" w:w="50"/>
              <w:right w:type="dxa" w:w="110"/>
            </w:tcMar>
            <w:vAlign w:val="center"/>
          </w:tcPr>
          <w:p>
            <w:pPr>
              <w:spacing w:after="0" w:line="252"/>
              <w:jc w:val="left"/>
            </w:pPr>
            <w:r>
              <w:rPr>
                <w:b/>
                <w:bCs/>
                <w:color w:val="1A1F29"/>
                <w:sz w:val="21"/>
                <w:szCs w:val="21"/>
              </w:rPr>
              <w:t xml:space="preserve">Параметър</w:t>
            </w:r>
          </w:p>
        </w:tc>
        <w:tc>
          <w:tcPr>
            <w:tcW w:type="dxa" w:w="3000"/>
            <w:shd w:fill="E9EBEF" w:color="auto" w:val="clear"/>
            <w:tcMar>
              <w:top w:type="dxa" w:w="50"/>
              <w:left w:type="dxa" w:w="110"/>
              <w:bottom w:type="dxa" w:w="50"/>
              <w:right w:type="dxa" w:w="110"/>
            </w:tcMar>
            <w:vAlign w:val="center"/>
          </w:tcPr>
          <w:p>
            <w:pPr>
              <w:spacing w:after="0" w:line="252"/>
              <w:jc w:val="left"/>
            </w:pPr>
            <w:r>
              <w:rPr>
                <w:b/>
                <w:bCs/>
                <w:color w:val="4E7D00"/>
                <w:sz w:val="21"/>
                <w:szCs w:val="21"/>
              </w:rPr>
              <w:t xml:space="preserve">GeForce GTX 780</w:t>
            </w:r>
          </w:p>
        </w:tc>
        <w:tc>
          <w:tcPr>
            <w:tcW w:type="dxa" w:w="3000"/>
            <w:shd w:fill="E9EBEF" w:color="auto" w:val="clear"/>
            <w:tcMar>
              <w:top w:type="dxa" w:w="50"/>
              <w:left w:type="dxa" w:w="110"/>
              <w:bottom w:type="dxa" w:w="50"/>
              <w:right w:type="dxa" w:w="110"/>
            </w:tcMar>
            <w:vAlign w:val="center"/>
          </w:tcPr>
          <w:p>
            <w:pPr>
              <w:spacing w:after="0" w:line="252"/>
              <w:jc w:val="left"/>
            </w:pPr>
            <w:r>
              <w:rPr>
                <w:b/>
                <w:bCs/>
                <w:color w:val="C4161C"/>
                <w:sz w:val="21"/>
                <w:szCs w:val="21"/>
              </w:rPr>
              <w:t xml:space="preserve">Radeon RX Vega 56</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Производител</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NVIDIA</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AMD</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Дата на излизане</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23 май 2013 г.</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28 август 2017 г.</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Цена при излизане</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649 $ (от 29.10.2013 г. – 499 $)</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399 $</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Архитектура</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Kepler</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GCN 5 (Vega)</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Графичен процесор</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GK110 (GK110-300-A1)</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Vega 10 XL</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Технологичен процес</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28 nm, TSMC</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14 nm FinFET, GlobalFoundries</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Интерфейс</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PCI Express 3.0 x16</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PCI Express 3.0 x16</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Видеоизходи</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2 × DVI, HDMI 1.4a, DisplayPort 1.2</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3 × DisplayPort 1.4, HDMI 2.0b</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Допълнително захранване</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6-pin + 8-pin</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2 × 8-pin</w:t>
            </w:r>
          </w:p>
        </w:tc>
      </w:tr>
    </w:tbl>
    <w:p>
      <w:pPr>
        <w:pStyle w:val="Heading1"/>
      </w:pPr>
      <w:r>
        <w:t xml:space="preserve">4. Архитектура</w:t>
      </w:r>
    </w:p>
    <w:p>
      <w:pPr>
        <w:pStyle w:val="Heading2"/>
      </w:pPr>
      <w:r>
        <w:t xml:space="preserve">4.1. Kepler и чипът GK110</w:t>
      </w:r>
    </w:p>
    <w:p>
      <w:pPr>
        <w:ind w:firstLine="709"/>
        <w:jc w:val="both"/>
      </w:pPr>
      <w:r>
        <w:t xml:space="preserve">Основният изчислителен блок в Kepler е стрийминг мултипроцесорът SMX (Streaming Multiprocessor). Всеки SMX съдържа 192 CUDA ядра за операции с единична точност, 16 текстурни блока, регистров файл от 65 536 32-битови регистъра и 64 KB памет, която се разделя между споделена памет и кеш от първо ниво. Пълният GK110 има 15 блока SMX, разпределени в пет клъстера GPC, и общ кеш от второ ниво с обем 1,5 MB. В GTX 780 са активни 12 блока SMX, т.е. 12 × 192 = 2304 CUDA ядра.</w:t>
      </w:r>
    </w:p>
    <w:p>
      <w:pPr>
        <w:ind w:firstLine="709"/>
        <w:jc w:val="both"/>
      </w:pPr>
      <w:r>
        <w:t xml:space="preserve">Нишките се изпълняват на групи от по 32, наречени warp. Всеки SMX има четири планировчика на warp-ове, всеки от които може да изпраща по две независими инструкции на такт. GK110 въвежда и две възможности, които са интересни от гледна точка на програмиста. Първата е Dynamic Parallelism: ядро, изпълнявано на графичния процесор, може само да стартира нови ядра, без управлението да се връща към централния процесор. Втората е Hyper-Q: хардуерните опашки за задачи стават 32 вместо една, така че няколко потока (CUDA streams) могат да подават работа едновременно. И двете възможности изискват compute capability 3.5, каквато има GTX 780.</w:t>
      </w:r>
    </w:p>
    <w:p>
      <w:pPr>
        <w:pStyle w:val="Heading2"/>
      </w:pPr>
      <w:r>
        <w:t xml:space="preserve">4.2. GCN 5 и чипът Vega 10</w:t>
      </w:r>
    </w:p>
    <w:p>
      <w:pPr>
        <w:ind w:firstLine="709"/>
        <w:jc w:val="both"/>
      </w:pPr>
      <w:r>
        <w:t xml:space="preserve">При AMD основният блок е изчислителната единица CU (Compute Unit), която във Vega е преработена и носи името NCU (Next-Generation Compute Unit). Всяка единица съдържа четири векторни SIMD блока с ширина 16 ленти (общо 64 поточни процесора), един скаларен блок, четири текстурни блока и 64 KB локална памет (LDS), споделена между нишките на работната група. Пълният Vega 10 има 64 изчислителни единици, а при RX Vega 56 са активни 56, т.е. 56 × 64 = 3584 поточни процесора. Кешът от второ ниво е 4 MB.</w:t>
      </w:r>
    </w:p>
    <w:p>
      <w:pPr>
        <w:ind w:firstLine="709"/>
        <w:jc w:val="both"/>
      </w:pPr>
      <w:r>
        <w:t xml:space="preserve">Нишките в GCN се групират по 64 и групата се нарича wavefront. Един SIMD блок с 16 ленти изпълнява инструкция на целия wavefront за четири такта. Работата към изчислителните единици се разпределя от асинхронни изчислителни блокове ACE (Asynchronous Compute Engine), всеки от които обслужва до 8 опашки. Благодарение на тях графични и изчислителни задачи могат да се изпълняват едновременно (async compute).</w:t>
      </w:r>
    </w:p>
    <w:p>
      <w:pPr>
        <w:ind w:firstLine="709"/>
        <w:jc w:val="both"/>
      </w:pPr>
      <w:r>
        <w:t xml:space="preserve">Във Vega се появяват и няколко нововъведения:</w:t>
      </w:r>
    </w:p>
    <w:p>
      <w:pPr>
        <w:pStyle w:val="ListParagraph"/>
        <w:numPr>
          <w:ilvl w:val="0"/>
          <w:numId w:val="2"/>
        </w:numPr>
        <w:jc w:val="both"/>
      </w:pPr>
      <w:r>
        <w:rPr>
          <w:b/>
          <w:bCs/>
        </w:rPr>
        <w:t xml:space="preserve">Rapid Packed Math</w:t>
      </w:r>
      <w:r>
        <w:t xml:space="preserve"> – две операции с половинна точност (FP16) се изпълняват в една 32-битова лента, което удвоява производителността при FP16;</w:t>
      </w:r>
    </w:p>
    <w:p>
      <w:pPr>
        <w:pStyle w:val="ListParagraph"/>
        <w:numPr>
          <w:ilvl w:val="0"/>
          <w:numId w:val="2"/>
        </w:numPr>
        <w:jc w:val="both"/>
      </w:pPr>
      <w:r>
        <w:rPr>
          <w:b/>
          <w:bCs/>
        </w:rPr>
        <w:t xml:space="preserve">High Bandwidth Cache Controller (HBCC)</w:t>
      </w:r>
      <w:r>
        <w:t xml:space="preserve"> – контролер, който третира видеопаметта като кеш, а данните могат да се намират и в системната памет; виртуалното адресно пространство достига 512 TB;</w:t>
      </w:r>
    </w:p>
    <w:p>
      <w:pPr>
        <w:pStyle w:val="ListParagraph"/>
        <w:numPr>
          <w:ilvl w:val="0"/>
          <w:numId w:val="2"/>
        </w:numPr>
        <w:jc w:val="both"/>
      </w:pPr>
      <w:r>
        <w:rPr>
          <w:b/>
          <w:bCs/>
        </w:rPr>
        <w:t xml:space="preserve">Draw Stream Binning Rasterizer (DSBR)</w:t>
      </w:r>
      <w:r>
        <w:t xml:space="preserve"> – растеризатор, който разделя кадъра на участъци и намалява повторната обработка на пиксели, скрити зад други обекти.</w:t>
      </w:r>
    </w:p>
    <w:p>
      <w:pPr>
        <w:ind w:firstLine="709"/>
        <w:jc w:val="both"/>
      </w:pPr>
      <w:r>
        <w:t xml:space="preserve">Обявените при представянето на Vega примитивни шейдъри (primitive shaders) така и не бяха активирани в драйверите, затова не се разглеждат в сравнението.</w:t>
      </w:r>
    </w:p>
    <w:p>
      <w:pPr>
        <w:pStyle w:val="Heading2"/>
      </w:pPr>
      <w:r>
        <w:t xml:space="preserve">4.3. Warp и wavefront: значение за програмиста</w:t>
      </w:r>
    </w:p>
    <w:p>
      <w:pPr>
        <w:ind w:firstLine="709"/>
        <w:jc w:val="both"/>
      </w:pPr>
      <w:r>
        <w:t xml:space="preserve">Разликата между група от 32 и група от 64 нишки се усеща пряко при писането на код за графичния процесор. Размерът на блока нишки (work-group) е добре да е кратен на ширината на групата, иначе част от лентите остават неизползвани. Например блок от 96 нишки при NVIDIA запълва точно три warp-а, а при AMD заема два wavefront-а, вторият от които е наполовина празен.</w:t>
      </w:r>
    </w:p>
    <w:p>
      <w:pPr>
        <w:ind w:firstLine="709"/>
        <w:jc w:val="both"/>
      </w:pPr>
      <w:r>
        <w:t xml:space="preserve">По-широката група е по-чувствителна и към разклонения в кода. Ако в рамките на една група част от нишките изпълнят клона </w:t>
      </w:r>
      <w:r>
        <w:rPr>
          <w:rFonts w:ascii="Courier New" w:cs="Courier New" w:eastAsia="Courier New" w:hAnsi="Courier New"/>
          <w:sz w:val="22"/>
          <w:szCs w:val="22"/>
        </w:rPr>
        <w:t xml:space="preserve">if</w:t>
      </w:r>
      <w:r>
        <w:t xml:space="preserve">, а останалите – клона </w:t>
      </w:r>
      <w:r>
        <w:rPr>
          <w:rFonts w:ascii="Courier New" w:cs="Courier New" w:eastAsia="Courier New" w:hAnsi="Courier New"/>
          <w:sz w:val="22"/>
          <w:szCs w:val="22"/>
        </w:rPr>
        <w:t xml:space="preserve">else</w:t>
      </w:r>
      <w:r>
        <w:t xml:space="preserve">, хардуерът изпълнява последователно двата клона, като маскира неактивните нишки. При 64 нишки вероятността в групата да има поне една „различна“ нишка е по-голяма, отколкото при 32.</w:t>
      </w:r>
    </w:p>
    <w:p>
      <w:pPr>
        <w:ind w:firstLine="709"/>
        <w:jc w:val="both"/>
      </w:pPr>
      <w:r>
        <w:t xml:space="preserve">Като цяло двата подхода се различават по философия: NVIDIA използва по-малко на брой, но по-големи блокове (12 SMX по 192 ядра), а AMD – много на брой по-малки и еднакви единици (56 NCU по 64 процесора).</w:t>
      </w:r>
    </w:p>
    <w:p>
      <w:pPr>
        <w:pStyle w:val="Heading1"/>
      </w:pPr>
      <w:r>
        <w:t xml:space="preserve">5. Технологичен процес</w:t>
      </w:r>
    </w:p>
    <w:p>
      <w:pPr>
        <w:ind w:firstLine="709"/>
        <w:jc w:val="both"/>
      </w:pPr>
      <w:r>
        <w:t xml:space="preserve">Графичният процесор на GTX 780 се произвежда от TSMC по 28-нанометров процес с планарни транзистори. Vega 10 се произвежда от GlobalFoundries по процеса 14LPP, който използва транзистори FinFET. При тях каналът е изнесен над подложката във формата на тясна „перка“ (fin), а затворът го обхваща от три страни. Така токът се контролира по-добре и утечките намаляват, което позволява по-висока честота при същата консумация или по-ниска консумация при същата честота.</w:t>
      </w:r>
    </w:p>
    <w:p>
      <w:pPr>
        <w:keepNext/>
        <w:spacing w:after="80" w:before="200"/>
      </w:pPr>
      <w:r>
        <w:rPr>
          <w:i/>
          <w:iCs/>
          <w:color w:val="5B6372"/>
          <w:sz w:val="22"/>
          <w:szCs w:val="22"/>
        </w:rPr>
        <w:t xml:space="preserve">Таблица 2. Технологичен процес и кристал</w:t>
      </w:r>
    </w:p>
    <w:tbl>
      <w:tblPr>
        <w:tblW w:type="dxa" w:w="9355"/>
        <w:tblBorders>
          <w:top w:val="single" w:color="BFC4CC" w:sz="4"/>
          <w:left w:val="none" w:color="FFFFFF" w:sz="0"/>
          <w:bottom w:val="single" w:color="BFC4CC" w:sz="4"/>
          <w:right w:val="none" w:color="FFFFFF" w:sz="0"/>
          <w:insideH w:val="single" w:color="BFC4CC" w:sz="4"/>
          <w:insideV w:val="none" w:color="FFFFFF" w:sz="0"/>
        </w:tblBorders>
      </w:tblPr>
      <w:tblGrid>
        <w:gridCol w:w="3355"/>
        <w:gridCol w:w="3000"/>
        <w:gridCol w:w="3000"/>
      </w:tblGrid>
      <w:tr>
        <w:trPr>
          <w:tblHeader/>
        </w:trPr>
        <w:tc>
          <w:tcPr>
            <w:tcW w:type="dxa" w:w="3355"/>
            <w:shd w:fill="E9EBEF" w:color="auto" w:val="clear"/>
            <w:tcMar>
              <w:top w:type="dxa" w:w="50"/>
              <w:left w:type="dxa" w:w="110"/>
              <w:bottom w:type="dxa" w:w="50"/>
              <w:right w:type="dxa" w:w="110"/>
            </w:tcMar>
            <w:vAlign w:val="center"/>
          </w:tcPr>
          <w:p>
            <w:pPr>
              <w:spacing w:after="0" w:line="252"/>
              <w:jc w:val="left"/>
            </w:pPr>
            <w:r>
              <w:rPr>
                <w:b/>
                <w:bCs/>
                <w:color w:val="1A1F29"/>
                <w:sz w:val="21"/>
                <w:szCs w:val="21"/>
              </w:rPr>
              <w:t xml:space="preserve">Параметър</w:t>
            </w:r>
          </w:p>
        </w:tc>
        <w:tc>
          <w:tcPr>
            <w:tcW w:type="dxa" w:w="3000"/>
            <w:shd w:fill="E9EBEF" w:color="auto" w:val="clear"/>
            <w:tcMar>
              <w:top w:type="dxa" w:w="50"/>
              <w:left w:type="dxa" w:w="110"/>
              <w:bottom w:type="dxa" w:w="50"/>
              <w:right w:type="dxa" w:w="110"/>
            </w:tcMar>
            <w:vAlign w:val="center"/>
          </w:tcPr>
          <w:p>
            <w:pPr>
              <w:spacing w:after="0" w:line="252"/>
              <w:jc w:val="left"/>
            </w:pPr>
            <w:r>
              <w:rPr>
                <w:b/>
                <w:bCs/>
                <w:color w:val="4E7D00"/>
                <w:sz w:val="21"/>
                <w:szCs w:val="21"/>
              </w:rPr>
              <w:t xml:space="preserve">GeForce GTX 780</w:t>
            </w:r>
          </w:p>
        </w:tc>
        <w:tc>
          <w:tcPr>
            <w:tcW w:type="dxa" w:w="3000"/>
            <w:shd w:fill="E9EBEF" w:color="auto" w:val="clear"/>
            <w:tcMar>
              <w:top w:type="dxa" w:w="50"/>
              <w:left w:type="dxa" w:w="110"/>
              <w:bottom w:type="dxa" w:w="50"/>
              <w:right w:type="dxa" w:w="110"/>
            </w:tcMar>
            <w:vAlign w:val="center"/>
          </w:tcPr>
          <w:p>
            <w:pPr>
              <w:spacing w:after="0" w:line="252"/>
              <w:jc w:val="left"/>
            </w:pPr>
            <w:r>
              <w:rPr>
                <w:b/>
                <w:bCs/>
                <w:color w:val="C4161C"/>
                <w:sz w:val="21"/>
                <w:szCs w:val="21"/>
              </w:rPr>
              <w:t xml:space="preserve">Radeon RX Vega 56</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Технологичен процес</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28 nm, планарни транзистори</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14 nm FinFET (14LPP)</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Производител на чипа</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TSMC</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GlobalFoundries</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Брой транзистори</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7,08 млрд.</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12,5 млрд.</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Площ на кристала</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561 mm²</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486 mm²</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Плътност</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12,6 млн. транзистора/mm²</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25,7 млн. транзистора/mm²</w:t>
            </w:r>
          </w:p>
        </w:tc>
      </w:tr>
    </w:tbl>
    <w:p>
      <w:pPr>
        <w:spacing w:before="200"/>
        <w:ind w:firstLine="709"/>
        <w:jc w:val="both"/>
      </w:pPr>
      <w:r>
        <w:t xml:space="preserve">Vega 10 съдържа със 77% повече транзистори от GK110, разположени на 13% по-малка площ. Плътността е 25,7 срещу 12,6 милиона транзистора на квадратен милиметър, т.е. приблизително двойна. Тази плътност стои в основата на почти всички останали предимства на Vega 56: повече изчислителни единици, по-висока честота и по-добра енергийна ефективност.</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677"/>
        <w:gridCol w:w="4677"/>
      </w:tblGrid>
      <w:tr>
        <w:trPr>
          <w:cantSplit/>
        </w:trPr>
        <w:tc>
          <w:tcPr>
            <w:tcW w:type="dxa" w:w="4677"/>
            <w:vAlign w:val="bottom"/>
          </w:tcPr>
          <w:p>
            <w:pPr>
              <w:keepNext/>
              <w:spacing w:after="40"/>
              <w:jc w:val="center"/>
            </w:pPr>
            <w:r>
              <w:drawing>
                <wp:inline distT="0" distB="0" distL="0" distR="0">
                  <wp:extent cx="2190750" cy="2124075"/>
                  <wp:effectExtent t="0" r="0" b="0" l="0"/>
                  <wp:docPr id="1" name="doc_gk110.jpg" descr="GK110 (от GTX 780), 561 mm²" title="GK110 (от GTX 780), 561 mm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2124075"/>
                          </a:xfrm>
                          <a:prstGeom prst="rect">
                            <a:avLst/>
                          </a:prstGeom>
                        </pic:spPr>
                      </pic:pic>
                    </a:graphicData>
                  </a:graphic>
                </wp:inline>
              </w:drawing>
            </w:r>
          </w:p>
          <w:p>
            <w:pPr>
              <w:spacing w:after="0"/>
              <w:jc w:val="center"/>
            </w:pPr>
            <w:r>
              <w:rPr>
                <w:color w:val="5B6372"/>
                <w:sz w:val="20"/>
                <w:szCs w:val="20"/>
              </w:rPr>
              <w:t xml:space="preserve">GK110 (от GTX 780), 561 mm²</w:t>
            </w:r>
          </w:p>
        </w:tc>
        <w:tc>
          <w:tcPr>
            <w:tcW w:type="dxa" w:w="4677"/>
            <w:vAlign w:val="bottom"/>
          </w:tcPr>
          <w:p>
            <w:pPr>
              <w:keepNext/>
              <w:spacing w:after="40"/>
              <w:jc w:val="center"/>
            </w:pPr>
            <w:r>
              <w:drawing>
                <wp:inline distT="0" distB="0" distL="0" distR="0">
                  <wp:extent cx="2362200" cy="1762125"/>
                  <wp:effectExtent t="0" r="0" b="0" l="0"/>
                  <wp:docPr id="2" name="doc_vega.jpg" descr="Vega 10 (от Vega 64), 486 mm²" title="Vega 10 (от Vega 64), 486 mm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62200" cy="1762125"/>
                          </a:xfrm>
                          <a:prstGeom prst="rect">
                            <a:avLst/>
                          </a:prstGeom>
                        </pic:spPr>
                      </pic:pic>
                    </a:graphicData>
                  </a:graphic>
                </wp:inline>
              </w:drawing>
            </w:r>
          </w:p>
          <w:p>
            <w:pPr>
              <w:spacing w:after="0"/>
              <w:jc w:val="center"/>
            </w:pPr>
            <w:r>
              <w:rPr>
                <w:color w:val="5B6372"/>
                <w:sz w:val="20"/>
                <w:szCs w:val="20"/>
              </w:rPr>
              <w:t xml:space="preserve">Vega 10 (от Vega 64), 486 mm²</w:t>
            </w:r>
          </w:p>
        </w:tc>
      </w:tr>
    </w:tbl>
    <w:p>
      <w:pPr>
        <w:spacing w:after="240" w:before="60"/>
        <w:jc w:val="center"/>
      </w:pPr>
      <w:r>
        <w:rPr>
          <w:i/>
          <w:iCs/>
          <w:color w:val="5B6372"/>
          <w:sz w:val="21"/>
          <w:szCs w:val="21"/>
        </w:rPr>
        <w:t xml:space="preserve">Фиг. 1. Кристалите на двата графични процесора; Vega 56 използва същия кристал като Vega 64. Снимки: Fritzchens Fritz, CC0</w:t>
      </w:r>
    </w:p>
    <w:p>
      <w:pPr>
        <w:pStyle w:val="Heading1"/>
      </w:pPr>
      <w:r>
        <w:t xml:space="preserve">6. Изчислителни ресурси</w:t>
      </w:r>
    </w:p>
    <w:p>
      <w:pPr>
        <w:ind w:firstLine="709"/>
        <w:jc w:val="both"/>
      </w:pPr>
      <w:r>
        <w:t xml:space="preserve">Теоретичната производителност при операции с единична точност (FP32) се изчислява като броят на шейдърните единици се умножи по две операции на такт и по тактовата честота. Множителят 2 идва от инструкцията FMA (fused multiply-add), която изпълнява умножение и събиране наведнъж и се брои за две операции:</w:t>
      </w:r>
    </w:p>
    <w:p>
      <w:pPr>
        <w:spacing w:after="60"/>
        <w:jc w:val="center"/>
      </w:pPr>
      <w:r>
        <w:rPr>
          <w:rFonts w:ascii="Cambria Math" w:cs="Cambria Math" w:eastAsia="Cambria Math" w:hAnsi="Cambria Math"/>
        </w:rPr>
        <w:t xml:space="preserve">FP32 = N × 2 × f</w:t>
      </w:r>
    </w:p>
    <w:p>
      <w:pPr>
        <w:spacing w:after="60"/>
        <w:jc w:val="center"/>
      </w:pPr>
      <w:r>
        <w:rPr>
          <w:rFonts w:ascii="Cambria Math" w:cs="Cambria Math" w:eastAsia="Cambria Math" w:hAnsi="Cambria Math"/>
        </w:rPr>
        <w:t xml:space="preserve">GTX 780:  2304 × 2 × 0,900 GHz = 4147 GFLOPS ≈ 4,15 TFLOPS</w:t>
      </w:r>
    </w:p>
    <w:p>
      <w:pPr>
        <w:spacing w:after="60"/>
        <w:jc w:val="center"/>
      </w:pPr>
      <w:r>
        <w:rPr>
          <w:rFonts w:ascii="Cambria Math" w:cs="Cambria Math" w:eastAsia="Cambria Math" w:hAnsi="Cambria Math"/>
        </w:rPr>
        <w:t xml:space="preserve">RX Vega 56:  3584 × 2 × 1,471 GHz = 10 544 GFLOPS ≈ 10,54 TFLOPS</w:t>
      </w:r>
    </w:p>
    <w:p>
      <w:pPr>
        <w:spacing w:before="120"/>
        <w:ind w:firstLine="709"/>
        <w:jc w:val="both"/>
      </w:pPr>
      <w:r>
        <w:t xml:space="preserve">И за двете карти е използвана обявената boost честота. В реална работа GTX 780 често надхвърля 900 MHz благодарение на GPU Boost 2.0, а Vega 56 не винаги задържа 1471 MHz при продължително натоварване, така че истинската разлика зависи и от охлаждането. Дори с тази уговорка Vega 56 има около 2,5 пъти по-висока теоретична производителност.</w:t>
      </w:r>
    </w:p>
    <w:p>
      <w:pPr>
        <w:keepNext/>
        <w:spacing w:after="80" w:before="200"/>
      </w:pPr>
      <w:r>
        <w:rPr>
          <w:i/>
          <w:iCs/>
          <w:color w:val="5B6372"/>
          <w:sz w:val="22"/>
          <w:szCs w:val="22"/>
        </w:rPr>
        <w:t xml:space="preserve">Таблица 3. Изчислителни ресурси</w:t>
      </w:r>
    </w:p>
    <w:tbl>
      <w:tblPr>
        <w:tblW w:type="dxa" w:w="9355"/>
        <w:tblBorders>
          <w:top w:val="single" w:color="BFC4CC" w:sz="4"/>
          <w:left w:val="none" w:color="FFFFFF" w:sz="0"/>
          <w:bottom w:val="single" w:color="BFC4CC" w:sz="4"/>
          <w:right w:val="none" w:color="FFFFFF" w:sz="0"/>
          <w:insideH w:val="single" w:color="BFC4CC" w:sz="4"/>
          <w:insideV w:val="none" w:color="FFFFFF" w:sz="0"/>
        </w:tblBorders>
      </w:tblPr>
      <w:tblGrid>
        <w:gridCol w:w="3355"/>
        <w:gridCol w:w="3000"/>
        <w:gridCol w:w="3000"/>
      </w:tblGrid>
      <w:tr>
        <w:trPr>
          <w:tblHeader/>
        </w:trPr>
        <w:tc>
          <w:tcPr>
            <w:tcW w:type="dxa" w:w="3355"/>
            <w:shd w:fill="E9EBEF" w:color="auto" w:val="clear"/>
            <w:tcMar>
              <w:top w:type="dxa" w:w="50"/>
              <w:left w:type="dxa" w:w="110"/>
              <w:bottom w:type="dxa" w:w="50"/>
              <w:right w:type="dxa" w:w="110"/>
            </w:tcMar>
            <w:vAlign w:val="center"/>
          </w:tcPr>
          <w:p>
            <w:pPr>
              <w:spacing w:after="0" w:line="252"/>
              <w:jc w:val="left"/>
            </w:pPr>
            <w:r>
              <w:rPr>
                <w:b/>
                <w:bCs/>
                <w:color w:val="1A1F29"/>
                <w:sz w:val="21"/>
                <w:szCs w:val="21"/>
              </w:rPr>
              <w:t xml:space="preserve">Параметър</w:t>
            </w:r>
          </w:p>
        </w:tc>
        <w:tc>
          <w:tcPr>
            <w:tcW w:type="dxa" w:w="3000"/>
            <w:shd w:fill="E9EBEF" w:color="auto" w:val="clear"/>
            <w:tcMar>
              <w:top w:type="dxa" w:w="50"/>
              <w:left w:type="dxa" w:w="110"/>
              <w:bottom w:type="dxa" w:w="50"/>
              <w:right w:type="dxa" w:w="110"/>
            </w:tcMar>
            <w:vAlign w:val="center"/>
          </w:tcPr>
          <w:p>
            <w:pPr>
              <w:spacing w:after="0" w:line="252"/>
              <w:jc w:val="left"/>
            </w:pPr>
            <w:r>
              <w:rPr>
                <w:b/>
                <w:bCs/>
                <w:color w:val="4E7D00"/>
                <w:sz w:val="21"/>
                <w:szCs w:val="21"/>
              </w:rPr>
              <w:t xml:space="preserve">GeForce GTX 780</w:t>
            </w:r>
          </w:p>
        </w:tc>
        <w:tc>
          <w:tcPr>
            <w:tcW w:type="dxa" w:w="3000"/>
            <w:shd w:fill="E9EBEF" w:color="auto" w:val="clear"/>
            <w:tcMar>
              <w:top w:type="dxa" w:w="50"/>
              <w:left w:type="dxa" w:w="110"/>
              <w:bottom w:type="dxa" w:w="50"/>
              <w:right w:type="dxa" w:w="110"/>
            </w:tcMar>
            <w:vAlign w:val="center"/>
          </w:tcPr>
          <w:p>
            <w:pPr>
              <w:spacing w:after="0" w:line="252"/>
              <w:jc w:val="left"/>
            </w:pPr>
            <w:r>
              <w:rPr>
                <w:b/>
                <w:bCs/>
                <w:color w:val="C4161C"/>
                <w:sz w:val="21"/>
                <w:szCs w:val="21"/>
              </w:rPr>
              <w:t xml:space="preserve">Radeon RX Vega 56</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Активни блокове</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12 от 15 SMX</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56 от 64 NCU</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Шейдърни единици</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2304 CUDA ядра</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3584 поточни процесора</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Текстурни блокове (TMU)</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192</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224</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Растерни блокове (ROP)</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48</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64</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Кеш от второ ниво</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1,5 MB</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4 MB</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Базова / boost честота</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863 / 900 MHz</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1156 / 1471 MHz</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FP32 (при boost)</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4,15 TFLOPS</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10,54 TFLOPS</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FP16</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без ускорение</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21,09 TFLOPS</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FP64</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0,17 TFLOPS (1/24 от FP32)</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0,66 TFLOPS (1/16 от FP32)</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Пикселна скорост</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43,2 GPixel/s</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94,1 GPixel/s</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Текстурна скорост</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172,8 GTexel/s</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329,5 GTexel/s</w:t>
            </w:r>
          </w:p>
        </w:tc>
      </w:tr>
    </w:tbl>
    <w:p>
      <w:pPr>
        <w:spacing w:before="200"/>
        <w:ind w:firstLine="709"/>
        <w:jc w:val="both"/>
      </w:pPr>
      <w:r>
        <w:t xml:space="preserve">Предимството на Vega 56 идва от две посоки: тя има с 55% повече шейдърни единици и работи на честота, по-висока с 63%. При изчисленията с половинна точност (FP16), които се използват в машинното обучение и в някои графични ефекти, разликата е още по-голяма, защото Kepler няма ускорение за FP16. При двойна точност (FP64) и двете карти са силно ограничени, затова нито една от тях не е подходяща за научни изчисления, които изискват FP64.</w:t>
      </w:r>
    </w:p>
    <w:p>
      <w:pPr>
        <w:pStyle w:val="Heading1"/>
      </w:pPr>
      <w:r>
        <w:t xml:space="preserve">7. Видеопамет</w:t>
      </w:r>
    </w:p>
    <w:p>
      <w:pPr>
        <w:ind w:firstLine="709"/>
        <w:jc w:val="both"/>
      </w:pPr>
      <w:r>
        <w:t xml:space="preserve">При паметта разликата е не само количествена, но и конструктивна. GTX 780 използва GDDR5 – дванадесет отделни чипа по 256 MB, разположени по платката около графичния процесор и свързани с него чрез 384-битова шина. Всеки извод на шината работи със скорост 6 Gbps.</w:t>
      </w:r>
    </w:p>
    <w:p>
      <w:pPr>
        <w:ind w:firstLine="709"/>
        <w:jc w:val="both"/>
      </w:pPr>
      <w:r>
        <w:t xml:space="preserve">Vega 56 използва HBM2 (High Bandwidth Memory). Паметта е организирана в два стека, във всеки от които чиповете са наредени един върху друг и свързани вертикално. Стековете са монтирани непосредствено до графичния процесор върху силициев интерпозер – междинна подложка, през която минават хиляди връзки. Всеки стек е 4 GB и има собствена 1024-битова шина, общо 2048 бита.</w:t>
      </w:r>
    </w:p>
    <w:p>
      <w:pPr>
        <w:ind w:firstLine="709"/>
        <w:jc w:val="both"/>
      </w:pPr>
      <w:r>
        <w:t xml:space="preserve">Пропускателната способност се изчислява като ширината на шината в байтове се умножи по скоростта на един извод:</w:t>
      </w:r>
    </w:p>
    <w:p>
      <w:pPr>
        <w:spacing w:after="60"/>
        <w:jc w:val="center"/>
      </w:pPr>
      <w:r>
        <w:rPr>
          <w:rFonts w:ascii="Cambria Math" w:cs="Cambria Math" w:eastAsia="Cambria Math" w:hAnsi="Cambria Math"/>
        </w:rPr>
        <w:t xml:space="preserve">GTX 780:  384 / 8 × 6,008 Gbps = 288,4 GB/s</w:t>
      </w:r>
    </w:p>
    <w:p>
      <w:pPr>
        <w:spacing w:after="60"/>
        <w:jc w:val="center"/>
      </w:pPr>
      <w:r>
        <w:rPr>
          <w:rFonts w:ascii="Cambria Math" w:cs="Cambria Math" w:eastAsia="Cambria Math" w:hAnsi="Cambria Math"/>
        </w:rPr>
        <w:t xml:space="preserve">RX Vega 56:  2048 / 8 × 1,6 Gbps = 409,6 GB/s</w:t>
      </w:r>
    </w:p>
    <w:p>
      <w:pPr>
        <w:keepNext/>
        <w:spacing w:after="80" w:before="200"/>
      </w:pPr>
      <w:r>
        <w:rPr>
          <w:i/>
          <w:iCs/>
          <w:color w:val="5B6372"/>
          <w:sz w:val="22"/>
          <w:szCs w:val="22"/>
        </w:rPr>
        <w:t xml:space="preserve">Таблица 4. Видеопамет</w:t>
      </w:r>
    </w:p>
    <w:tbl>
      <w:tblPr>
        <w:tblW w:type="dxa" w:w="9355"/>
        <w:tblBorders>
          <w:top w:val="single" w:color="BFC4CC" w:sz="4"/>
          <w:left w:val="none" w:color="FFFFFF" w:sz="0"/>
          <w:bottom w:val="single" w:color="BFC4CC" w:sz="4"/>
          <w:right w:val="none" w:color="FFFFFF" w:sz="0"/>
          <w:insideH w:val="single" w:color="BFC4CC" w:sz="4"/>
          <w:insideV w:val="none" w:color="FFFFFF" w:sz="0"/>
        </w:tblBorders>
      </w:tblPr>
      <w:tblGrid>
        <w:gridCol w:w="3355"/>
        <w:gridCol w:w="3000"/>
        <w:gridCol w:w="3000"/>
      </w:tblGrid>
      <w:tr>
        <w:trPr>
          <w:tblHeader/>
        </w:trPr>
        <w:tc>
          <w:tcPr>
            <w:tcW w:type="dxa" w:w="3355"/>
            <w:shd w:fill="E9EBEF" w:color="auto" w:val="clear"/>
            <w:tcMar>
              <w:top w:type="dxa" w:w="50"/>
              <w:left w:type="dxa" w:w="110"/>
              <w:bottom w:type="dxa" w:w="50"/>
              <w:right w:type="dxa" w:w="110"/>
            </w:tcMar>
            <w:vAlign w:val="center"/>
          </w:tcPr>
          <w:p>
            <w:pPr>
              <w:spacing w:after="0" w:line="252"/>
              <w:jc w:val="left"/>
            </w:pPr>
            <w:r>
              <w:rPr>
                <w:b/>
                <w:bCs/>
                <w:color w:val="1A1F29"/>
                <w:sz w:val="21"/>
                <w:szCs w:val="21"/>
              </w:rPr>
              <w:t xml:space="preserve">Параметър</w:t>
            </w:r>
          </w:p>
        </w:tc>
        <w:tc>
          <w:tcPr>
            <w:tcW w:type="dxa" w:w="3000"/>
            <w:shd w:fill="E9EBEF" w:color="auto" w:val="clear"/>
            <w:tcMar>
              <w:top w:type="dxa" w:w="50"/>
              <w:left w:type="dxa" w:w="110"/>
              <w:bottom w:type="dxa" w:w="50"/>
              <w:right w:type="dxa" w:w="110"/>
            </w:tcMar>
            <w:vAlign w:val="center"/>
          </w:tcPr>
          <w:p>
            <w:pPr>
              <w:spacing w:after="0" w:line="252"/>
              <w:jc w:val="left"/>
            </w:pPr>
            <w:r>
              <w:rPr>
                <w:b/>
                <w:bCs/>
                <w:color w:val="4E7D00"/>
                <w:sz w:val="21"/>
                <w:szCs w:val="21"/>
              </w:rPr>
              <w:t xml:space="preserve">GeForce GTX 780</w:t>
            </w:r>
          </w:p>
        </w:tc>
        <w:tc>
          <w:tcPr>
            <w:tcW w:type="dxa" w:w="3000"/>
            <w:shd w:fill="E9EBEF" w:color="auto" w:val="clear"/>
            <w:tcMar>
              <w:top w:type="dxa" w:w="50"/>
              <w:left w:type="dxa" w:w="110"/>
              <w:bottom w:type="dxa" w:w="50"/>
              <w:right w:type="dxa" w:w="110"/>
            </w:tcMar>
            <w:vAlign w:val="center"/>
          </w:tcPr>
          <w:p>
            <w:pPr>
              <w:spacing w:after="0" w:line="252"/>
              <w:jc w:val="left"/>
            </w:pPr>
            <w:r>
              <w:rPr>
                <w:b/>
                <w:bCs/>
                <w:color w:val="C4161C"/>
                <w:sz w:val="21"/>
                <w:szCs w:val="21"/>
              </w:rPr>
              <w:t xml:space="preserve">Radeon RX Vega 56</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Тип</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GDDR5</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HBM2</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Обем</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3 GB</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8 GB</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Разположение</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12 чипа на платката</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2 стека върху интерпозер</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Ширина на шината</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384 бита</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2048 бита</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Скорост на един извод</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6,0 Gbps</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1,6 Gbps</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Пропускателна способност</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288,4 GB/s</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409,6 GB/s</w:t>
            </w:r>
          </w:p>
        </w:tc>
      </w:tr>
    </w:tbl>
    <w:p>
      <w:pPr>
        <w:spacing w:before="200"/>
        <w:ind w:firstLine="709"/>
        <w:jc w:val="both"/>
      </w:pPr>
      <w:r>
        <w:t xml:space="preserve">HBM2 работи почти четири пъти по-бавно на извод, но шината ѝ е 5,3 пъти по-широка и в резултат пропускателната способност е с 42% по-висока. Ниската честота означава и по-ниска консумация на паметта, а късите връзки през интерпозера заемат много по-малко място на платката. Недостатъкът на HBM2 е по-високата цена и по-сложното производство.</w:t>
      </w:r>
    </w:p>
    <w:p>
      <w:pPr>
        <w:ind w:firstLine="709"/>
        <w:jc w:val="both"/>
      </w:pPr>
      <w:r>
        <w:t xml:space="preserve">За дълготрайността на картите още по-важен е обемът. 3 GB бяха достатъчни за игрите от 2013 г., но днес са сериозно ограничение дори при резолюция 1920 × 1080. С 8 GB Vega 56 разполага с 2,7 пъти повече памет. Към това се добавя и HBCC, който при недостиг позволява част от данните да се държат в системната памет.</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677"/>
        <w:gridCol w:w="4677"/>
      </w:tblGrid>
      <w:tr>
        <w:trPr>
          <w:cantSplit/>
        </w:trPr>
        <w:tc>
          <w:tcPr>
            <w:tcW w:type="dxa" w:w="4677"/>
            <w:vAlign w:val="bottom"/>
          </w:tcPr>
          <w:p>
            <w:pPr>
              <w:keepNext/>
              <w:spacing w:after="40"/>
              <w:jc w:val="center"/>
            </w:pPr>
            <w:r>
              <w:drawing>
                <wp:inline distT="0" distB="0" distL="0" distR="0">
                  <wp:extent cx="3143250" cy="1428750"/>
                  <wp:effectExtent t="0" r="0" b="0" l="0"/>
                  <wp:docPr id="3" name="doc_pcb.jpg" descr="GTX 780: GPU и 12 чипа GDDR5" title="GTX 780: GPU и 12 чипа GDD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1428750"/>
                          </a:xfrm>
                          <a:prstGeom prst="rect">
                            <a:avLst/>
                          </a:prstGeom>
                        </pic:spPr>
                      </pic:pic>
                    </a:graphicData>
                  </a:graphic>
                </wp:inline>
              </w:drawing>
            </w:r>
          </w:p>
          <w:p>
            <w:pPr>
              <w:spacing w:after="0"/>
              <w:jc w:val="center"/>
            </w:pPr>
            <w:r>
              <w:rPr>
                <w:color w:val="5B6372"/>
                <w:sz w:val="20"/>
                <w:szCs w:val="20"/>
              </w:rPr>
              <w:t xml:space="preserve">GTX 780: GPU и 12 чипа GDDR5</w:t>
            </w:r>
          </w:p>
        </w:tc>
        <w:tc>
          <w:tcPr>
            <w:tcW w:type="dxa" w:w="4677"/>
            <w:vAlign w:val="bottom"/>
          </w:tcPr>
          <w:p>
            <w:pPr>
              <w:keepNext/>
              <w:spacing w:after="40"/>
              <w:jc w:val="center"/>
            </w:pPr>
            <w:r>
              <w:drawing>
                <wp:inline distT="0" distB="0" distL="0" distR="0">
                  <wp:extent cx="1571625" cy="1581150"/>
                  <wp:effectExtent t="0" r="0" b="0" l="0"/>
                  <wp:docPr id="4" name="doc_vega_pkg.jpg" descr="Vega 10: GPU и 2 стека HBM2" title="Vega 10: GPU и 2 стека HB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581150"/>
                          </a:xfrm>
                          <a:prstGeom prst="rect">
                            <a:avLst/>
                          </a:prstGeom>
                        </pic:spPr>
                      </pic:pic>
                    </a:graphicData>
                  </a:graphic>
                </wp:inline>
              </w:drawing>
            </w:r>
          </w:p>
          <w:p>
            <w:pPr>
              <w:spacing w:after="0"/>
              <w:jc w:val="center"/>
            </w:pPr>
            <w:r>
              <w:rPr>
                <w:color w:val="5B6372"/>
                <w:sz w:val="20"/>
                <w:szCs w:val="20"/>
              </w:rPr>
              <w:t xml:space="preserve">Vega 10: GPU и 2 стека HBM2</w:t>
            </w:r>
          </w:p>
        </w:tc>
      </w:tr>
    </w:tbl>
    <w:p>
      <w:pPr>
        <w:spacing w:after="240" w:before="60"/>
        <w:jc w:val="center"/>
      </w:pPr>
      <w:r>
        <w:rPr>
          <w:i/>
          <w:iCs/>
          <w:color w:val="5B6372"/>
          <w:sz w:val="21"/>
          <w:szCs w:val="21"/>
        </w:rPr>
        <w:t xml:space="preserve">Фиг. 2. Разположение на паметта. Снимки: GBPublic_PR, CC BY 2.0 (вляво); Fritzchens Fritz, CC0 (вдясно)</w:t>
      </w:r>
    </w:p>
    <w:p>
      <w:pPr>
        <w:pStyle w:val="Heading1"/>
      </w:pPr>
      <w:r>
        <w:t xml:space="preserve">8. Енергопотребление и ефективност</w:t>
      </w:r>
    </w:p>
    <w:p>
      <w:pPr>
        <w:ind w:firstLine="709"/>
        <w:jc w:val="both"/>
      </w:pPr>
      <w:r>
        <w:t xml:space="preserve">NVIDIA обявява за GTX 780 топлинен пакет (TDP) от 250 W. AMD посочва за RX Vega 56 типична консумация на цялата платка (Typical Board Power) от 210 W. Двете стойности не се определят по една и съща методика, затова сравнението по-долу е ориентировъчно, но дава ясна представа за порядъка на разликата.</w:t>
      </w:r>
    </w:p>
    <w:p>
      <w:pPr>
        <w:keepNext/>
        <w:spacing w:after="80" w:before="200"/>
      </w:pPr>
      <w:r>
        <w:rPr>
          <w:i/>
          <w:iCs/>
          <w:color w:val="5B6372"/>
          <w:sz w:val="22"/>
          <w:szCs w:val="22"/>
        </w:rPr>
        <w:t xml:space="preserve">Таблица 5. Енергопотребление и ефективност</w:t>
      </w:r>
    </w:p>
    <w:tbl>
      <w:tblPr>
        <w:tblW w:type="dxa" w:w="9355"/>
        <w:tblBorders>
          <w:top w:val="single" w:color="BFC4CC" w:sz="4"/>
          <w:left w:val="none" w:color="FFFFFF" w:sz="0"/>
          <w:bottom w:val="single" w:color="BFC4CC" w:sz="4"/>
          <w:right w:val="none" w:color="FFFFFF" w:sz="0"/>
          <w:insideH w:val="single" w:color="BFC4CC" w:sz="4"/>
          <w:insideV w:val="none" w:color="FFFFFF" w:sz="0"/>
        </w:tblBorders>
      </w:tblPr>
      <w:tblGrid>
        <w:gridCol w:w="3355"/>
        <w:gridCol w:w="3000"/>
        <w:gridCol w:w="3000"/>
      </w:tblGrid>
      <w:tr>
        <w:trPr>
          <w:tblHeader/>
        </w:trPr>
        <w:tc>
          <w:tcPr>
            <w:tcW w:type="dxa" w:w="3355"/>
            <w:shd w:fill="E9EBEF" w:color="auto" w:val="clear"/>
            <w:tcMar>
              <w:top w:type="dxa" w:w="50"/>
              <w:left w:type="dxa" w:w="110"/>
              <w:bottom w:type="dxa" w:w="50"/>
              <w:right w:type="dxa" w:w="110"/>
            </w:tcMar>
            <w:vAlign w:val="center"/>
          </w:tcPr>
          <w:p>
            <w:pPr>
              <w:spacing w:after="0" w:line="252"/>
              <w:jc w:val="left"/>
            </w:pPr>
            <w:r>
              <w:rPr>
                <w:b/>
                <w:bCs/>
                <w:color w:val="1A1F29"/>
                <w:sz w:val="21"/>
                <w:szCs w:val="21"/>
              </w:rPr>
              <w:t xml:space="preserve">Параметър</w:t>
            </w:r>
          </w:p>
        </w:tc>
        <w:tc>
          <w:tcPr>
            <w:tcW w:type="dxa" w:w="3000"/>
            <w:shd w:fill="E9EBEF" w:color="auto" w:val="clear"/>
            <w:tcMar>
              <w:top w:type="dxa" w:w="50"/>
              <w:left w:type="dxa" w:w="110"/>
              <w:bottom w:type="dxa" w:w="50"/>
              <w:right w:type="dxa" w:w="110"/>
            </w:tcMar>
            <w:vAlign w:val="center"/>
          </w:tcPr>
          <w:p>
            <w:pPr>
              <w:spacing w:after="0" w:line="252"/>
              <w:jc w:val="left"/>
            </w:pPr>
            <w:r>
              <w:rPr>
                <w:b/>
                <w:bCs/>
                <w:color w:val="4E7D00"/>
                <w:sz w:val="21"/>
                <w:szCs w:val="21"/>
              </w:rPr>
              <w:t xml:space="preserve">GeForce GTX 780</w:t>
            </w:r>
          </w:p>
        </w:tc>
        <w:tc>
          <w:tcPr>
            <w:tcW w:type="dxa" w:w="3000"/>
            <w:shd w:fill="E9EBEF" w:color="auto" w:val="clear"/>
            <w:tcMar>
              <w:top w:type="dxa" w:w="50"/>
              <w:left w:type="dxa" w:w="110"/>
              <w:bottom w:type="dxa" w:w="50"/>
              <w:right w:type="dxa" w:w="110"/>
            </w:tcMar>
            <w:vAlign w:val="center"/>
          </w:tcPr>
          <w:p>
            <w:pPr>
              <w:spacing w:after="0" w:line="252"/>
              <w:jc w:val="left"/>
            </w:pPr>
            <w:r>
              <w:rPr>
                <w:b/>
                <w:bCs/>
                <w:color w:val="C4161C"/>
                <w:sz w:val="21"/>
                <w:szCs w:val="21"/>
              </w:rPr>
              <w:t xml:space="preserve">Radeon RX Vega 56</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Обявена консумация</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250 W (TDP)</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210 W (TBP)</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Допълнително захранване</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6-pin + 8-pin (до 300 W със слота)</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2 × 8-pin (до 375 W със слота)</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FP32 на ват</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16,6 GFLOPS/W</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50,2 GFLOPS/W</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Точки PassMark на ват</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31,9</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61,5</w:t>
            </w:r>
          </w:p>
        </w:tc>
      </w:tr>
    </w:tbl>
    <w:p>
      <w:pPr>
        <w:spacing w:before="200"/>
        <w:ind w:firstLine="709"/>
        <w:jc w:val="both"/>
      </w:pPr>
      <w:r>
        <w:t xml:space="preserve">Ако теоретичната производителност се раздели на обявената консумация, Vega 56 изпълнява около 3 пъти повече операции на ват. При реалния резултат в PassMark разликата е по-малка, около 1,9 пъти, но също е значителна. Това е пряко следствие от прехода към 14 nm FinFET и от по-високата плътност на чипа.</w:t>
      </w:r>
    </w:p>
    <w:p>
      <w:pPr>
        <w:ind w:firstLine="709"/>
        <w:jc w:val="both"/>
      </w:pPr>
      <w:r>
        <w:t xml:space="preserve">Въпреки по-ниската обявена консумация Vega 56 има два 8-пинови конектора за допълнително захранване, докато GTX 780 се захранва през един 6-пинов и един 8-пинов. Резервът при Vega позволява повишаване на лимита на мощността при овърклок.</w:t>
      </w:r>
    </w:p>
    <w:p>
      <w:pPr>
        <w:pStyle w:val="Heading1"/>
      </w:pPr>
      <w:r>
        <w:t xml:space="preserve">9. Поддържани API и програмен модел</w:t>
      </w:r>
    </w:p>
    <w:p>
      <w:pPr>
        <w:ind w:firstLine="709"/>
        <w:jc w:val="both"/>
      </w:pPr>
      <w:r>
        <w:t xml:space="preserve">От гледна точка на системното програмиране разликите в поддържаните интерфейси са не по-малко важни от хардуерните (табл. 6).</w:t>
      </w:r>
    </w:p>
    <w:p>
      <w:pPr>
        <w:keepNext/>
        <w:spacing w:after="80" w:before="200"/>
      </w:pPr>
      <w:r>
        <w:rPr>
          <w:i/>
          <w:iCs/>
          <w:color w:val="5B6372"/>
          <w:sz w:val="22"/>
          <w:szCs w:val="22"/>
        </w:rPr>
        <w:t xml:space="preserve">Таблица 6. Поддържани API и програмен модел</w:t>
      </w:r>
    </w:p>
    <w:tbl>
      <w:tblPr>
        <w:tblW w:type="dxa" w:w="9355"/>
        <w:tblBorders>
          <w:top w:val="single" w:color="BFC4CC" w:sz="4"/>
          <w:left w:val="none" w:color="FFFFFF" w:sz="0"/>
          <w:bottom w:val="single" w:color="BFC4CC" w:sz="4"/>
          <w:right w:val="none" w:color="FFFFFF" w:sz="0"/>
          <w:insideH w:val="single" w:color="BFC4CC" w:sz="4"/>
          <w:insideV w:val="none" w:color="FFFFFF" w:sz="0"/>
        </w:tblBorders>
      </w:tblPr>
      <w:tblGrid>
        <w:gridCol w:w="3355"/>
        <w:gridCol w:w="3000"/>
        <w:gridCol w:w="3000"/>
      </w:tblGrid>
      <w:tr>
        <w:trPr>
          <w:tblHeader/>
        </w:trPr>
        <w:tc>
          <w:tcPr>
            <w:tcW w:type="dxa" w:w="3355"/>
            <w:shd w:fill="E9EBEF" w:color="auto" w:val="clear"/>
            <w:tcMar>
              <w:top w:type="dxa" w:w="50"/>
              <w:left w:type="dxa" w:w="110"/>
              <w:bottom w:type="dxa" w:w="50"/>
              <w:right w:type="dxa" w:w="110"/>
            </w:tcMar>
            <w:vAlign w:val="center"/>
          </w:tcPr>
          <w:p>
            <w:pPr>
              <w:spacing w:after="0" w:line="252"/>
              <w:jc w:val="left"/>
            </w:pPr>
            <w:r>
              <w:rPr>
                <w:b/>
                <w:bCs/>
                <w:color w:val="1A1F29"/>
                <w:sz w:val="21"/>
                <w:szCs w:val="21"/>
              </w:rPr>
              <w:t xml:space="preserve">Възможност</w:t>
            </w:r>
          </w:p>
        </w:tc>
        <w:tc>
          <w:tcPr>
            <w:tcW w:type="dxa" w:w="3000"/>
            <w:shd w:fill="E9EBEF" w:color="auto" w:val="clear"/>
            <w:tcMar>
              <w:top w:type="dxa" w:w="50"/>
              <w:left w:type="dxa" w:w="110"/>
              <w:bottom w:type="dxa" w:w="50"/>
              <w:right w:type="dxa" w:w="110"/>
            </w:tcMar>
            <w:vAlign w:val="center"/>
          </w:tcPr>
          <w:p>
            <w:pPr>
              <w:spacing w:after="0" w:line="252"/>
              <w:jc w:val="left"/>
            </w:pPr>
            <w:r>
              <w:rPr>
                <w:b/>
                <w:bCs/>
                <w:color w:val="4E7D00"/>
                <w:sz w:val="21"/>
                <w:szCs w:val="21"/>
              </w:rPr>
              <w:t xml:space="preserve">GeForce GTX 780</w:t>
            </w:r>
          </w:p>
        </w:tc>
        <w:tc>
          <w:tcPr>
            <w:tcW w:type="dxa" w:w="3000"/>
            <w:shd w:fill="E9EBEF" w:color="auto" w:val="clear"/>
            <w:tcMar>
              <w:top w:type="dxa" w:w="50"/>
              <w:left w:type="dxa" w:w="110"/>
              <w:bottom w:type="dxa" w:w="50"/>
              <w:right w:type="dxa" w:w="110"/>
            </w:tcMar>
            <w:vAlign w:val="center"/>
          </w:tcPr>
          <w:p>
            <w:pPr>
              <w:spacing w:after="0" w:line="252"/>
              <w:jc w:val="left"/>
            </w:pPr>
            <w:r>
              <w:rPr>
                <w:b/>
                <w:bCs/>
                <w:color w:val="C4161C"/>
                <w:sz w:val="21"/>
                <w:szCs w:val="21"/>
              </w:rPr>
              <w:t xml:space="preserve">Radeon RX Vega 56</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DirectX 12, ниво на функционалност</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11_0</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12_1</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Vulkan</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1.2</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1.3</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OpenGL</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4.6</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4.6</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OpenCL</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3.0</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2.0</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Платформа за GPGPU</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CUDA, compute capability 3.5</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ROCm / HIP, gfx900</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Размер на групата нишки</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32 (warp)</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64 (wavefront)</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Асинхронни изчисления</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не</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да (блокове ACE)</w:t>
            </w:r>
          </w:p>
        </w:tc>
      </w:tr>
      <w:tr>
        <w:trPr>
          <w:cantSplit/>
        </w:trPr>
        <w:tc>
          <w:tcPr>
            <w:tcW w:type="dxa" w:w="3355"/>
            <w:tcMar>
              <w:top w:type="dxa" w:w="50"/>
              <w:left w:type="dxa" w:w="110"/>
              <w:bottom w:type="dxa" w:w="50"/>
              <w:right w:type="dxa" w:w="110"/>
            </w:tcMar>
            <w:vAlign w:val="center"/>
          </w:tcPr>
          <w:p>
            <w:pPr>
              <w:spacing w:after="0" w:line="252"/>
              <w:jc w:val="left"/>
            </w:pPr>
            <w:r>
              <w:rPr>
                <w:color w:val="5B6372"/>
                <w:sz w:val="21"/>
                <w:szCs w:val="21"/>
              </w:rPr>
              <w:t xml:space="preserve">Ускорено FP16</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не</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да (Rapid Packed Math)</w:t>
            </w:r>
          </w:p>
        </w:tc>
      </w:tr>
    </w:tbl>
    <w:p>
      <w:pPr>
        <w:spacing w:before="200"/>
        <w:ind w:firstLine="709"/>
        <w:jc w:val="both"/>
      </w:pPr>
      <w:r>
        <w:t xml:space="preserve">И двете карти работят с DirectX 12, но на различно ниво на функционалност (feature level). GTX 780 поддържа ниво 11_0, т.е. изпълнява програми за DirectX 12, но без възможностите, въведени с нивата 12_0 и 12_1. Vega 56 поддържа ниво 12_1, което включва консервативна растеризация (conservative rasterization) и подредени изгледи за растеризатора (rasterizer ordered views). При Vulkan картата на AMD поддържа версия 1.3, а GTX 780 – 1.2.</w:t>
      </w:r>
    </w:p>
    <w:p>
      <w:pPr>
        <w:ind w:firstLine="709"/>
        <w:jc w:val="both"/>
      </w:pPr>
      <w:r>
        <w:t xml:space="preserve">Съществена е и разликата при асинхронните изчисления. В DirectX 12 и Vulkan приложението може да подава графични и изчислителни задачи в отделни опашки, които да се изпълняват паралелно. GCN разполага с хардуерни блокове ACE за това, докато при Kepler двата типа задачи не могат ефективно да се застъпват. Затова в игри, които използват async compute, Vega 56 печели допълнително.</w:t>
      </w:r>
    </w:p>
    <w:p>
      <w:pPr>
        <w:ind w:firstLine="709"/>
        <w:jc w:val="both"/>
      </w:pPr>
      <w:r>
        <w:t xml:space="preserve">За изчисления с общо предназначение (GPGPU) GTX 780 използва платформата CUDA с compute capability 3.5. Поддръжката на Kepler обаче е премахната от CUDA 12.0 (декември 2022 г.), така че днес за тази карта може да се използва най-много CUDA 11.x. Vega 56 се програмира чрез OpenCL или чрез HIP – програмния интерфейс на платформата ROCm, който повтаря модела на CUDA почти едно към едно. Vega 10 (с идентификатор gfx900) беше сред първите графични процесори с официална поддръжка в ROCm, но в актуалните версии вече е извън списъка на поддържаните.</w:t>
      </w:r>
    </w:p>
    <w:p>
      <w:pPr>
        <w:ind w:firstLine="709"/>
        <w:jc w:val="both"/>
      </w:pPr>
      <w:r>
        <w:t xml:space="preserve">Близостта между CUDA и HIP се вижда при стартирането на едно и също ядро – функцията </w:t>
      </w:r>
      <w:r>
        <w:rPr>
          <w:rFonts w:ascii="Courier New" w:cs="Courier New" w:eastAsia="Courier New" w:hAnsi="Courier New"/>
          <w:sz w:val="22"/>
          <w:szCs w:val="22"/>
        </w:rPr>
        <w:t xml:space="preserve">saxpy</w:t>
      </w:r>
      <w:r>
        <w:t xml:space="preserve">, която изчислява y = a·x + y – в двата модела:</w:t>
      </w:r>
    </w:p>
    <w:p>
      <w:pPr>
        <w:keepNext/>
        <w:shd w:fill="F1F2F5" w:color="auto" w:val="clear"/>
        <w:spacing w:after="0" w:before="120" w:line="240"/>
        <w:ind w:left="284"/>
      </w:pPr>
      <w:r>
        <w:rPr>
          <w:rFonts w:ascii="Courier New" w:cs="Courier New" w:eastAsia="Courier New" w:hAnsi="Courier New"/>
          <w:color w:val="5B6372"/>
          <w:sz w:val="19"/>
          <w:szCs w:val="19"/>
        </w:rPr>
        <w:t xml:space="preserve">// CUDA - GTX 780 (sm_35): 256 нишки = 8 warp-а по 32</w:t>
      </w:r>
    </w:p>
    <w:p>
      <w:pPr>
        <w:keepNext/>
        <w:shd w:fill="F1F2F5" w:color="auto" w:val="clear"/>
        <w:spacing w:after="0" w:before="0" w:line="240"/>
        <w:ind w:left="284"/>
      </w:pPr>
      <w:r>
        <w:rPr>
          <w:rFonts w:ascii="Courier New" w:cs="Courier New" w:eastAsia="Courier New" w:hAnsi="Courier New"/>
          <w:color w:val="1A1F29"/>
          <w:sz w:val="19"/>
          <w:szCs w:val="19"/>
        </w:rPr>
        <w:t xml:space="preserve">saxpy&lt;&lt;&lt;blocks, 256&gt;&gt;&gt;(n, a, x, y);</w:t>
      </w:r>
    </w:p>
    <w:p>
      <w:pPr>
        <w:keepNext/>
        <w:shd w:fill="F1F2F5" w:color="auto" w:val="clear"/>
        <w:spacing w:after="0" w:before="0" w:line="240"/>
        <w:ind w:left="284"/>
      </w:pPr>
      <w:r>
        <w:rPr>
          <w:rFonts w:ascii="Courier New" w:cs="Courier New" w:eastAsia="Courier New" w:hAnsi="Courier New"/>
          <w:color w:val="1A1F29"/>
          <w:sz w:val="19"/>
          <w:szCs w:val="19"/>
        </w:rPr>
        <w:t xml:space="preserve"> </w:t>
      </w:r>
    </w:p>
    <w:p>
      <w:pPr>
        <w:keepNext/>
        <w:shd w:fill="F1F2F5" w:color="auto" w:val="clear"/>
        <w:spacing w:after="0" w:before="0" w:line="240"/>
        <w:ind w:left="284"/>
      </w:pPr>
      <w:r>
        <w:rPr>
          <w:rFonts w:ascii="Courier New" w:cs="Courier New" w:eastAsia="Courier New" w:hAnsi="Courier New"/>
          <w:color w:val="5B6372"/>
          <w:sz w:val="19"/>
          <w:szCs w:val="19"/>
        </w:rPr>
        <w:t xml:space="preserve">// HIP - RX Vega 56 (gfx900): 256 нишки = 4 wavefront-а по 64</w:t>
      </w:r>
    </w:p>
    <w:p>
      <w:pPr>
        <w:keepNext w:val="false"/>
        <w:shd w:fill="F1F2F5" w:color="auto" w:val="clear"/>
        <w:spacing w:after="0" w:before="0" w:line="240"/>
        <w:ind w:left="284"/>
      </w:pPr>
      <w:r>
        <w:rPr>
          <w:rFonts w:ascii="Courier New" w:cs="Courier New" w:eastAsia="Courier New" w:hAnsi="Courier New"/>
          <w:color w:val="1A1F29"/>
          <w:sz w:val="19"/>
          <w:szCs w:val="19"/>
        </w:rPr>
        <w:t xml:space="preserve">hipLaunchKernelGGL(saxpy, dim3(blocks), dim3(256), 0, 0, n, a, x, y);</w:t>
      </w:r>
    </w:p>
    <w:p>
      <w:pPr>
        <w:spacing w:before="200"/>
        <w:ind w:firstLine="709"/>
        <w:jc w:val="both"/>
      </w:pPr>
      <w:r>
        <w:t xml:space="preserve">Синтаксисът се различава минимално, а инструментът hipify може автоматично да преобразува голяма част от CUDA кода в HIP. Размерът на блока от 256 нишки е удобен и за двете архитектури, защото е кратен едновременно на 32 и на 64.</w:t>
      </w:r>
    </w:p>
    <w:p>
      <w:pPr>
        <w:pStyle w:val="Heading1"/>
      </w:pPr>
      <w:r>
        <w:t xml:space="preserve">10. Производителност в тестове</w:t>
      </w:r>
    </w:p>
    <w:p>
      <w:pPr>
        <w:ind w:firstLine="709"/>
        <w:jc w:val="both"/>
      </w:pPr>
      <w:r>
        <w:t xml:space="preserve">Теоретичните стойности показват какво може хардуерът, но реалната производителност зависи и от драйверите, от API-то и от характера на натоварването. Затова са използвани два независими теста.</w:t>
      </w:r>
    </w:p>
    <w:p>
      <w:pPr>
        <w:ind w:firstLine="709"/>
        <w:jc w:val="both"/>
      </w:pPr>
      <w:r>
        <w:rPr>
          <w:b/>
          <w:bCs/>
        </w:rPr>
        <w:t xml:space="preserve">PassMark G3D Mark</w:t>
      </w:r>
      <w:r>
        <w:t xml:space="preserve"> е обобщена оценка, получена като средно от резултатите на потребители по целия свят. Към 20.10.2026 г. базата съдържа 8900 резултата за GTX 780 и 3758 за RX Vega 56, което прави средните стойности достатъчно надеждни. Тестът включва отделни сцени за DirectX 9, 10, 11 и 12 и изчислителен тест (табл. 7).</w:t>
      </w:r>
    </w:p>
    <w:p>
      <w:pPr>
        <w:keepNext/>
        <w:spacing w:after="80" w:before="200"/>
      </w:pPr>
      <w:r>
        <w:rPr>
          <w:i/>
          <w:iCs/>
          <w:color w:val="5B6372"/>
          <w:sz w:val="22"/>
          <w:szCs w:val="22"/>
        </w:rPr>
        <w:t xml:space="preserve">Таблица 7. Резултати в PassMark (към 20.10.2026 г.)</w:t>
      </w:r>
    </w:p>
    <w:tbl>
      <w:tblPr>
        <w:tblW w:type="dxa" w:w="9355"/>
        <w:tblBorders>
          <w:top w:val="single" w:color="BFC4CC" w:sz="4"/>
          <w:left w:val="none" w:color="FFFFFF" w:sz="0"/>
          <w:bottom w:val="single" w:color="BFC4CC" w:sz="4"/>
          <w:right w:val="none" w:color="FFFFFF" w:sz="0"/>
          <w:insideH w:val="single" w:color="BFC4CC" w:sz="4"/>
          <w:insideV w:val="none" w:color="FFFFFF" w:sz="0"/>
        </w:tblBorders>
      </w:tblPr>
      <w:tblGrid>
        <w:gridCol w:w="2755"/>
        <w:gridCol w:w="2300"/>
        <w:gridCol w:w="2300"/>
        <w:gridCol w:w="2000"/>
      </w:tblGrid>
      <w:tr>
        <w:trPr>
          <w:tblHeader/>
        </w:trPr>
        <w:tc>
          <w:tcPr>
            <w:tcW w:type="dxa" w:w="2755"/>
            <w:shd w:fill="E9EBEF" w:color="auto" w:val="clear"/>
            <w:tcMar>
              <w:top w:type="dxa" w:w="50"/>
              <w:left w:type="dxa" w:w="110"/>
              <w:bottom w:type="dxa" w:w="50"/>
              <w:right w:type="dxa" w:w="110"/>
            </w:tcMar>
            <w:vAlign w:val="center"/>
          </w:tcPr>
          <w:p>
            <w:pPr>
              <w:spacing w:after="0" w:line="252"/>
              <w:jc w:val="left"/>
            </w:pPr>
            <w:r>
              <w:rPr>
                <w:b/>
                <w:bCs/>
                <w:color w:val="1A1F29"/>
                <w:sz w:val="21"/>
                <w:szCs w:val="21"/>
              </w:rPr>
              <w:t xml:space="preserve">Тест</w:t>
            </w:r>
          </w:p>
        </w:tc>
        <w:tc>
          <w:tcPr>
            <w:tcW w:type="dxa" w:w="2300"/>
            <w:shd w:fill="E9EBEF" w:color="auto" w:val="clear"/>
            <w:tcMar>
              <w:top w:type="dxa" w:w="50"/>
              <w:left w:type="dxa" w:w="110"/>
              <w:bottom w:type="dxa" w:w="50"/>
              <w:right w:type="dxa" w:w="110"/>
            </w:tcMar>
            <w:vAlign w:val="center"/>
          </w:tcPr>
          <w:p>
            <w:pPr>
              <w:spacing w:after="0" w:line="252"/>
              <w:jc w:val="left"/>
            </w:pPr>
            <w:r>
              <w:rPr>
                <w:b/>
                <w:bCs/>
                <w:color w:val="4E7D00"/>
                <w:sz w:val="21"/>
                <w:szCs w:val="21"/>
              </w:rPr>
              <w:t xml:space="preserve">GeForce GTX 780</w:t>
            </w:r>
          </w:p>
        </w:tc>
        <w:tc>
          <w:tcPr>
            <w:tcW w:type="dxa" w:w="2300"/>
            <w:shd w:fill="E9EBEF" w:color="auto" w:val="clear"/>
            <w:tcMar>
              <w:top w:type="dxa" w:w="50"/>
              <w:left w:type="dxa" w:w="110"/>
              <w:bottom w:type="dxa" w:w="50"/>
              <w:right w:type="dxa" w:w="110"/>
            </w:tcMar>
            <w:vAlign w:val="center"/>
          </w:tcPr>
          <w:p>
            <w:pPr>
              <w:spacing w:after="0" w:line="252"/>
              <w:jc w:val="left"/>
            </w:pPr>
            <w:r>
              <w:rPr>
                <w:b/>
                <w:bCs/>
                <w:color w:val="C4161C"/>
                <w:sz w:val="21"/>
                <w:szCs w:val="21"/>
              </w:rPr>
              <w:t xml:space="preserve">Radeon RX Vega 56</w:t>
            </w:r>
          </w:p>
        </w:tc>
        <w:tc>
          <w:tcPr>
            <w:tcW w:type="dxa" w:w="2000"/>
            <w:shd w:fill="E9EBEF" w:color="auto" w:val="clear"/>
            <w:tcMar>
              <w:top w:type="dxa" w:w="50"/>
              <w:left w:type="dxa" w:w="110"/>
              <w:bottom w:type="dxa" w:w="50"/>
              <w:right w:type="dxa" w:w="110"/>
            </w:tcMar>
            <w:vAlign w:val="center"/>
          </w:tcPr>
          <w:p>
            <w:pPr>
              <w:spacing w:after="0" w:line="252"/>
              <w:jc w:val="left"/>
            </w:pPr>
            <w:r>
              <w:rPr>
                <w:b/>
                <w:bCs/>
                <w:color w:val="1A1F29"/>
                <w:sz w:val="21"/>
                <w:szCs w:val="21"/>
              </w:rPr>
              <w:t xml:space="preserve">Разлика</w:t>
            </w:r>
          </w:p>
        </w:tc>
      </w:tr>
      <w:tr>
        <w:trPr>
          <w:cantSplit/>
        </w:trPr>
        <w:tc>
          <w:tcPr>
            <w:tcW w:type="dxa" w:w="2755"/>
            <w:tcMar>
              <w:top w:type="dxa" w:w="50"/>
              <w:left w:type="dxa" w:w="110"/>
              <w:bottom w:type="dxa" w:w="50"/>
              <w:right w:type="dxa" w:w="110"/>
            </w:tcMar>
            <w:vAlign w:val="center"/>
          </w:tcPr>
          <w:p>
            <w:pPr>
              <w:spacing w:after="0" w:line="252"/>
              <w:jc w:val="left"/>
            </w:pPr>
            <w:r>
              <w:rPr>
                <w:color w:val="5B6372"/>
                <w:sz w:val="21"/>
                <w:szCs w:val="21"/>
              </w:rPr>
              <w:t xml:space="preserve">G3D Mark (общо)</w:t>
            </w:r>
          </w:p>
        </w:tc>
        <w:tc>
          <w:tcPr>
            <w:tcW w:type="dxa" w:w="2300"/>
            <w:tcMar>
              <w:top w:type="dxa" w:w="50"/>
              <w:left w:type="dxa" w:w="110"/>
              <w:bottom w:type="dxa" w:w="50"/>
              <w:right w:type="dxa" w:w="110"/>
            </w:tcMar>
            <w:vAlign w:val="center"/>
          </w:tcPr>
          <w:p>
            <w:pPr>
              <w:spacing w:after="0" w:line="252"/>
              <w:jc w:val="left"/>
            </w:pPr>
            <w:r>
              <w:rPr>
                <w:color w:val="1A1F29"/>
                <w:sz w:val="21"/>
                <w:szCs w:val="21"/>
              </w:rPr>
              <w:t xml:space="preserve">7972 точки</w:t>
            </w:r>
          </w:p>
        </w:tc>
        <w:tc>
          <w:tcPr>
            <w:tcW w:type="dxa" w:w="2300"/>
            <w:tcMar>
              <w:top w:type="dxa" w:w="50"/>
              <w:left w:type="dxa" w:w="110"/>
              <w:bottom w:type="dxa" w:w="50"/>
              <w:right w:type="dxa" w:w="110"/>
            </w:tcMar>
            <w:vAlign w:val="center"/>
          </w:tcPr>
          <w:p>
            <w:pPr>
              <w:spacing w:after="0" w:line="252"/>
              <w:jc w:val="left"/>
            </w:pPr>
            <w:r>
              <w:rPr>
                <w:color w:val="1A1F29"/>
                <w:sz w:val="21"/>
                <w:szCs w:val="21"/>
              </w:rPr>
              <w:t xml:space="preserve">12 913 точки</w:t>
            </w:r>
          </w:p>
        </w:tc>
        <w:tc>
          <w:tcPr>
            <w:tcW w:type="dxa" w:w="2000"/>
            <w:tcMar>
              <w:top w:type="dxa" w:w="50"/>
              <w:left w:type="dxa" w:w="110"/>
              <w:bottom w:type="dxa" w:w="50"/>
              <w:right w:type="dxa" w:w="110"/>
            </w:tcMar>
            <w:vAlign w:val="center"/>
          </w:tcPr>
          <w:p>
            <w:pPr>
              <w:spacing w:after="0" w:line="252"/>
              <w:jc w:val="left"/>
            </w:pPr>
            <w:r>
              <w:rPr>
                <w:color w:val="1A1F29"/>
                <w:sz w:val="21"/>
                <w:szCs w:val="21"/>
              </w:rPr>
              <w:t xml:space="preserve">+62%</w:t>
            </w:r>
          </w:p>
        </w:tc>
      </w:tr>
      <w:tr>
        <w:trPr>
          <w:cantSplit/>
        </w:trPr>
        <w:tc>
          <w:tcPr>
            <w:tcW w:type="dxa" w:w="2755"/>
            <w:tcMar>
              <w:top w:type="dxa" w:w="50"/>
              <w:left w:type="dxa" w:w="110"/>
              <w:bottom w:type="dxa" w:w="50"/>
              <w:right w:type="dxa" w:w="110"/>
            </w:tcMar>
            <w:vAlign w:val="center"/>
          </w:tcPr>
          <w:p>
            <w:pPr>
              <w:spacing w:after="0" w:line="252"/>
              <w:jc w:val="left"/>
            </w:pPr>
            <w:r>
              <w:rPr>
                <w:color w:val="5B6372"/>
                <w:sz w:val="21"/>
                <w:szCs w:val="21"/>
              </w:rPr>
              <w:t xml:space="preserve">DirectX 9</w:t>
            </w:r>
          </w:p>
        </w:tc>
        <w:tc>
          <w:tcPr>
            <w:tcW w:type="dxa" w:w="2300"/>
            <w:tcMar>
              <w:top w:type="dxa" w:w="50"/>
              <w:left w:type="dxa" w:w="110"/>
              <w:bottom w:type="dxa" w:w="50"/>
              <w:right w:type="dxa" w:w="110"/>
            </w:tcMar>
            <w:vAlign w:val="center"/>
          </w:tcPr>
          <w:p>
            <w:pPr>
              <w:spacing w:after="0" w:line="252"/>
              <w:jc w:val="left"/>
            </w:pPr>
            <w:r>
              <w:rPr>
                <w:color w:val="1A1F29"/>
                <w:sz w:val="21"/>
                <w:szCs w:val="21"/>
              </w:rPr>
              <w:t xml:space="preserve">127 FPS</w:t>
            </w:r>
          </w:p>
        </w:tc>
        <w:tc>
          <w:tcPr>
            <w:tcW w:type="dxa" w:w="2300"/>
            <w:tcMar>
              <w:top w:type="dxa" w:w="50"/>
              <w:left w:type="dxa" w:w="110"/>
              <w:bottom w:type="dxa" w:w="50"/>
              <w:right w:type="dxa" w:w="110"/>
            </w:tcMar>
            <w:vAlign w:val="center"/>
          </w:tcPr>
          <w:p>
            <w:pPr>
              <w:spacing w:after="0" w:line="252"/>
              <w:jc w:val="left"/>
            </w:pPr>
            <w:r>
              <w:rPr>
                <w:color w:val="1A1F29"/>
                <w:sz w:val="21"/>
                <w:szCs w:val="21"/>
              </w:rPr>
              <w:t xml:space="preserve">180 FPS</w:t>
            </w:r>
          </w:p>
        </w:tc>
        <w:tc>
          <w:tcPr>
            <w:tcW w:type="dxa" w:w="2000"/>
            <w:tcMar>
              <w:top w:type="dxa" w:w="50"/>
              <w:left w:type="dxa" w:w="110"/>
              <w:bottom w:type="dxa" w:w="50"/>
              <w:right w:type="dxa" w:w="110"/>
            </w:tcMar>
            <w:vAlign w:val="center"/>
          </w:tcPr>
          <w:p>
            <w:pPr>
              <w:spacing w:after="0" w:line="252"/>
              <w:jc w:val="left"/>
            </w:pPr>
            <w:r>
              <w:rPr>
                <w:color w:val="1A1F29"/>
                <w:sz w:val="21"/>
                <w:szCs w:val="21"/>
              </w:rPr>
              <w:t xml:space="preserve">+42%</w:t>
            </w:r>
          </w:p>
        </w:tc>
      </w:tr>
      <w:tr>
        <w:trPr>
          <w:cantSplit/>
        </w:trPr>
        <w:tc>
          <w:tcPr>
            <w:tcW w:type="dxa" w:w="2755"/>
            <w:tcMar>
              <w:top w:type="dxa" w:w="50"/>
              <w:left w:type="dxa" w:w="110"/>
              <w:bottom w:type="dxa" w:w="50"/>
              <w:right w:type="dxa" w:w="110"/>
            </w:tcMar>
            <w:vAlign w:val="center"/>
          </w:tcPr>
          <w:p>
            <w:pPr>
              <w:spacing w:after="0" w:line="252"/>
              <w:jc w:val="left"/>
            </w:pPr>
            <w:r>
              <w:rPr>
                <w:color w:val="5B6372"/>
                <w:sz w:val="21"/>
                <w:szCs w:val="21"/>
              </w:rPr>
              <w:t xml:space="preserve">DirectX 10</w:t>
            </w:r>
          </w:p>
        </w:tc>
        <w:tc>
          <w:tcPr>
            <w:tcW w:type="dxa" w:w="2300"/>
            <w:tcMar>
              <w:top w:type="dxa" w:w="50"/>
              <w:left w:type="dxa" w:w="110"/>
              <w:bottom w:type="dxa" w:w="50"/>
              <w:right w:type="dxa" w:w="110"/>
            </w:tcMar>
            <w:vAlign w:val="center"/>
          </w:tcPr>
          <w:p>
            <w:pPr>
              <w:spacing w:after="0" w:line="252"/>
              <w:jc w:val="left"/>
            </w:pPr>
            <w:r>
              <w:rPr>
                <w:color w:val="1A1F29"/>
                <w:sz w:val="21"/>
                <w:szCs w:val="21"/>
              </w:rPr>
              <w:t xml:space="preserve">37 FPS</w:t>
            </w:r>
          </w:p>
        </w:tc>
        <w:tc>
          <w:tcPr>
            <w:tcW w:type="dxa" w:w="2300"/>
            <w:tcMar>
              <w:top w:type="dxa" w:w="50"/>
              <w:left w:type="dxa" w:w="110"/>
              <w:bottom w:type="dxa" w:w="50"/>
              <w:right w:type="dxa" w:w="110"/>
            </w:tcMar>
            <w:vAlign w:val="center"/>
          </w:tcPr>
          <w:p>
            <w:pPr>
              <w:spacing w:after="0" w:line="252"/>
              <w:jc w:val="left"/>
            </w:pPr>
            <w:r>
              <w:rPr>
                <w:color w:val="1A1F29"/>
                <w:sz w:val="21"/>
                <w:szCs w:val="21"/>
              </w:rPr>
              <w:t xml:space="preserve">79 FPS</w:t>
            </w:r>
          </w:p>
        </w:tc>
        <w:tc>
          <w:tcPr>
            <w:tcW w:type="dxa" w:w="2000"/>
            <w:tcMar>
              <w:top w:type="dxa" w:w="50"/>
              <w:left w:type="dxa" w:w="110"/>
              <w:bottom w:type="dxa" w:w="50"/>
              <w:right w:type="dxa" w:w="110"/>
            </w:tcMar>
            <w:vAlign w:val="center"/>
          </w:tcPr>
          <w:p>
            <w:pPr>
              <w:spacing w:after="0" w:line="252"/>
              <w:jc w:val="left"/>
            </w:pPr>
            <w:r>
              <w:rPr>
                <w:color w:val="1A1F29"/>
                <w:sz w:val="21"/>
                <w:szCs w:val="21"/>
              </w:rPr>
              <w:t xml:space="preserve">+114%</w:t>
            </w:r>
          </w:p>
        </w:tc>
      </w:tr>
      <w:tr>
        <w:trPr>
          <w:cantSplit/>
        </w:trPr>
        <w:tc>
          <w:tcPr>
            <w:tcW w:type="dxa" w:w="2755"/>
            <w:tcMar>
              <w:top w:type="dxa" w:w="50"/>
              <w:left w:type="dxa" w:w="110"/>
              <w:bottom w:type="dxa" w:w="50"/>
              <w:right w:type="dxa" w:w="110"/>
            </w:tcMar>
            <w:vAlign w:val="center"/>
          </w:tcPr>
          <w:p>
            <w:pPr>
              <w:spacing w:after="0" w:line="252"/>
              <w:jc w:val="left"/>
            </w:pPr>
            <w:r>
              <w:rPr>
                <w:color w:val="5B6372"/>
                <w:sz w:val="21"/>
                <w:szCs w:val="21"/>
              </w:rPr>
              <w:t xml:space="preserve">DirectX 11</w:t>
            </w:r>
          </w:p>
        </w:tc>
        <w:tc>
          <w:tcPr>
            <w:tcW w:type="dxa" w:w="2300"/>
            <w:tcMar>
              <w:top w:type="dxa" w:w="50"/>
              <w:left w:type="dxa" w:w="110"/>
              <w:bottom w:type="dxa" w:w="50"/>
              <w:right w:type="dxa" w:w="110"/>
            </w:tcMar>
            <w:vAlign w:val="center"/>
          </w:tcPr>
          <w:p>
            <w:pPr>
              <w:spacing w:after="0" w:line="252"/>
              <w:jc w:val="left"/>
            </w:pPr>
            <w:r>
              <w:rPr>
                <w:color w:val="1A1F29"/>
                <w:sz w:val="21"/>
                <w:szCs w:val="21"/>
              </w:rPr>
              <w:t xml:space="preserve">65 FPS</w:t>
            </w:r>
          </w:p>
        </w:tc>
        <w:tc>
          <w:tcPr>
            <w:tcW w:type="dxa" w:w="2300"/>
            <w:tcMar>
              <w:top w:type="dxa" w:w="50"/>
              <w:left w:type="dxa" w:w="110"/>
              <w:bottom w:type="dxa" w:w="50"/>
              <w:right w:type="dxa" w:w="110"/>
            </w:tcMar>
            <w:vAlign w:val="center"/>
          </w:tcPr>
          <w:p>
            <w:pPr>
              <w:spacing w:after="0" w:line="252"/>
              <w:jc w:val="left"/>
            </w:pPr>
            <w:r>
              <w:rPr>
                <w:color w:val="1A1F29"/>
                <w:sz w:val="21"/>
                <w:szCs w:val="21"/>
              </w:rPr>
              <w:t xml:space="preserve">82 FPS</w:t>
            </w:r>
          </w:p>
        </w:tc>
        <w:tc>
          <w:tcPr>
            <w:tcW w:type="dxa" w:w="2000"/>
            <w:tcMar>
              <w:top w:type="dxa" w:w="50"/>
              <w:left w:type="dxa" w:w="110"/>
              <w:bottom w:type="dxa" w:w="50"/>
              <w:right w:type="dxa" w:w="110"/>
            </w:tcMar>
            <w:vAlign w:val="center"/>
          </w:tcPr>
          <w:p>
            <w:pPr>
              <w:spacing w:after="0" w:line="252"/>
              <w:jc w:val="left"/>
            </w:pPr>
            <w:r>
              <w:rPr>
                <w:color w:val="1A1F29"/>
                <w:sz w:val="21"/>
                <w:szCs w:val="21"/>
              </w:rPr>
              <w:t xml:space="preserve">+26%</w:t>
            </w:r>
          </w:p>
        </w:tc>
      </w:tr>
      <w:tr>
        <w:trPr>
          <w:cantSplit/>
        </w:trPr>
        <w:tc>
          <w:tcPr>
            <w:tcW w:type="dxa" w:w="2755"/>
            <w:tcMar>
              <w:top w:type="dxa" w:w="50"/>
              <w:left w:type="dxa" w:w="110"/>
              <w:bottom w:type="dxa" w:w="50"/>
              <w:right w:type="dxa" w:w="110"/>
            </w:tcMar>
            <w:vAlign w:val="center"/>
          </w:tcPr>
          <w:p>
            <w:pPr>
              <w:spacing w:after="0" w:line="252"/>
              <w:jc w:val="left"/>
            </w:pPr>
            <w:r>
              <w:rPr>
                <w:color w:val="5B6372"/>
                <w:sz w:val="21"/>
                <w:szCs w:val="21"/>
              </w:rPr>
              <w:t xml:space="preserve">DirectX 12</w:t>
            </w:r>
          </w:p>
        </w:tc>
        <w:tc>
          <w:tcPr>
            <w:tcW w:type="dxa" w:w="2300"/>
            <w:tcMar>
              <w:top w:type="dxa" w:w="50"/>
              <w:left w:type="dxa" w:w="110"/>
              <w:bottom w:type="dxa" w:w="50"/>
              <w:right w:type="dxa" w:w="110"/>
            </w:tcMar>
            <w:vAlign w:val="center"/>
          </w:tcPr>
          <w:p>
            <w:pPr>
              <w:spacing w:after="0" w:line="252"/>
              <w:jc w:val="left"/>
            </w:pPr>
            <w:r>
              <w:rPr>
                <w:color w:val="1A1F29"/>
                <w:sz w:val="21"/>
                <w:szCs w:val="21"/>
              </w:rPr>
              <w:t xml:space="preserve">30 FPS</w:t>
            </w:r>
          </w:p>
        </w:tc>
        <w:tc>
          <w:tcPr>
            <w:tcW w:type="dxa" w:w="2300"/>
            <w:tcMar>
              <w:top w:type="dxa" w:w="50"/>
              <w:left w:type="dxa" w:w="110"/>
              <w:bottom w:type="dxa" w:w="50"/>
              <w:right w:type="dxa" w:w="110"/>
            </w:tcMar>
            <w:vAlign w:val="center"/>
          </w:tcPr>
          <w:p>
            <w:pPr>
              <w:spacing w:after="0" w:line="252"/>
              <w:jc w:val="left"/>
            </w:pPr>
            <w:r>
              <w:rPr>
                <w:color w:val="1A1F29"/>
                <w:sz w:val="21"/>
                <w:szCs w:val="21"/>
              </w:rPr>
              <w:t xml:space="preserve">56 FPS</w:t>
            </w:r>
          </w:p>
        </w:tc>
        <w:tc>
          <w:tcPr>
            <w:tcW w:type="dxa" w:w="2000"/>
            <w:tcMar>
              <w:top w:type="dxa" w:w="50"/>
              <w:left w:type="dxa" w:w="110"/>
              <w:bottom w:type="dxa" w:w="50"/>
              <w:right w:type="dxa" w:w="110"/>
            </w:tcMar>
            <w:vAlign w:val="center"/>
          </w:tcPr>
          <w:p>
            <w:pPr>
              <w:spacing w:after="0" w:line="252"/>
              <w:jc w:val="left"/>
            </w:pPr>
            <w:r>
              <w:rPr>
                <w:color w:val="1A1F29"/>
                <w:sz w:val="21"/>
                <w:szCs w:val="21"/>
              </w:rPr>
              <w:t xml:space="preserve">+87%</w:t>
            </w:r>
          </w:p>
        </w:tc>
      </w:tr>
      <w:tr>
        <w:trPr>
          <w:cantSplit/>
        </w:trPr>
        <w:tc>
          <w:tcPr>
            <w:tcW w:type="dxa" w:w="2755"/>
            <w:tcMar>
              <w:top w:type="dxa" w:w="50"/>
              <w:left w:type="dxa" w:w="110"/>
              <w:bottom w:type="dxa" w:w="50"/>
              <w:right w:type="dxa" w:w="110"/>
            </w:tcMar>
            <w:vAlign w:val="center"/>
          </w:tcPr>
          <w:p>
            <w:pPr>
              <w:spacing w:after="0" w:line="252"/>
              <w:jc w:val="left"/>
            </w:pPr>
            <w:r>
              <w:rPr>
                <w:color w:val="5B6372"/>
                <w:sz w:val="21"/>
                <w:szCs w:val="21"/>
              </w:rPr>
              <w:t xml:space="preserve">GPU Compute</w:t>
            </w:r>
          </w:p>
        </w:tc>
        <w:tc>
          <w:tcPr>
            <w:tcW w:type="dxa" w:w="2300"/>
            <w:tcMar>
              <w:top w:type="dxa" w:w="50"/>
              <w:left w:type="dxa" w:w="110"/>
              <w:bottom w:type="dxa" w:w="50"/>
              <w:right w:type="dxa" w:w="110"/>
            </w:tcMar>
            <w:vAlign w:val="center"/>
          </w:tcPr>
          <w:p>
            <w:pPr>
              <w:spacing w:after="0" w:line="252"/>
              <w:jc w:val="left"/>
            </w:pPr>
            <w:r>
              <w:rPr>
                <w:color w:val="1A1F29"/>
                <w:sz w:val="21"/>
                <w:szCs w:val="21"/>
              </w:rPr>
              <w:t xml:space="preserve">3329 оп./s</w:t>
            </w:r>
          </w:p>
        </w:tc>
        <w:tc>
          <w:tcPr>
            <w:tcW w:type="dxa" w:w="2300"/>
            <w:tcMar>
              <w:top w:type="dxa" w:w="50"/>
              <w:left w:type="dxa" w:w="110"/>
              <w:bottom w:type="dxa" w:w="50"/>
              <w:right w:type="dxa" w:w="110"/>
            </w:tcMar>
            <w:vAlign w:val="center"/>
          </w:tcPr>
          <w:p>
            <w:pPr>
              <w:spacing w:after="0" w:line="252"/>
              <w:jc w:val="left"/>
            </w:pPr>
            <w:r>
              <w:rPr>
                <w:color w:val="1A1F29"/>
                <w:sz w:val="21"/>
                <w:szCs w:val="21"/>
              </w:rPr>
              <w:t xml:space="preserve">5766 оп./s</w:t>
            </w:r>
          </w:p>
        </w:tc>
        <w:tc>
          <w:tcPr>
            <w:tcW w:type="dxa" w:w="2000"/>
            <w:tcMar>
              <w:top w:type="dxa" w:w="50"/>
              <w:left w:type="dxa" w:w="110"/>
              <w:bottom w:type="dxa" w:w="50"/>
              <w:right w:type="dxa" w:w="110"/>
            </w:tcMar>
            <w:vAlign w:val="center"/>
          </w:tcPr>
          <w:p>
            <w:pPr>
              <w:spacing w:after="0" w:line="252"/>
              <w:jc w:val="left"/>
            </w:pPr>
            <w:r>
              <w:rPr>
                <w:color w:val="1A1F29"/>
                <w:sz w:val="21"/>
                <w:szCs w:val="21"/>
              </w:rPr>
              <w:t xml:space="preserve">+73%</w:t>
            </w:r>
          </w:p>
        </w:tc>
      </w:tr>
    </w:tbl>
    <w:p>
      <w:pPr>
        <w:spacing w:before="200"/>
        <w:ind w:firstLine="709"/>
        <w:jc w:val="both"/>
      </w:pPr>
      <w:r>
        <w:rPr>
          <w:b/>
          <w:bCs/>
        </w:rPr>
        <w:t xml:space="preserve">3DMark Time Spy</w:t>
      </w:r>
      <w:r>
        <w:t xml:space="preserve"> е тест за DirectX 12 при резолюция 2560 × 1440. Използвани са измерванията на ComputerBase от 2024 г., направени на една и съща тестова система за всички карти. Графичният резултат е 2595 точки за GTX 780 и 6344 точки за RX Vega 56, т.е. 2,44 пъти в полза на Vega.</w:t>
      </w:r>
    </w:p>
    <w:p>
      <w:pPr>
        <w:keepNext/>
        <w:spacing w:after="80" w:before="200"/>
      </w:pPr>
      <w:r>
        <w:rPr>
          <w:i/>
          <w:iCs/>
          <w:color w:val="5B6372"/>
          <w:sz w:val="22"/>
          <w:szCs w:val="22"/>
        </w:rPr>
        <w:t xml:space="preserve">Таблица 8. Теоретична и реална разлика (RX Vega 56 спрямо GTX 780)</w:t>
      </w:r>
    </w:p>
    <w:tbl>
      <w:tblPr>
        <w:tblW w:type="dxa" w:w="9355"/>
        <w:tblBorders>
          <w:top w:val="single" w:color="BFC4CC" w:sz="4"/>
          <w:left w:val="none" w:color="FFFFFF" w:sz="0"/>
          <w:bottom w:val="single" w:color="BFC4CC" w:sz="4"/>
          <w:right w:val="none" w:color="FFFFFF" w:sz="0"/>
          <w:insideH w:val="single" w:color="BFC4CC" w:sz="4"/>
          <w:insideV w:val="none" w:color="FFFFFF" w:sz="0"/>
        </w:tblBorders>
      </w:tblPr>
      <w:tblGrid>
        <w:gridCol w:w="6355"/>
        <w:gridCol w:w="3000"/>
      </w:tblGrid>
      <w:tr>
        <w:trPr>
          <w:tblHeader/>
        </w:trPr>
        <w:tc>
          <w:tcPr>
            <w:tcW w:type="dxa" w:w="6355"/>
            <w:shd w:fill="E9EBEF" w:color="auto" w:val="clear"/>
            <w:tcMar>
              <w:top w:type="dxa" w:w="50"/>
              <w:left w:type="dxa" w:w="110"/>
              <w:bottom w:type="dxa" w:w="50"/>
              <w:right w:type="dxa" w:w="110"/>
            </w:tcMar>
            <w:vAlign w:val="center"/>
          </w:tcPr>
          <w:p>
            <w:pPr>
              <w:spacing w:after="0" w:line="252"/>
              <w:jc w:val="left"/>
            </w:pPr>
            <w:r>
              <w:rPr>
                <w:b/>
                <w:bCs/>
                <w:color w:val="1A1F29"/>
                <w:sz w:val="21"/>
                <w:szCs w:val="21"/>
              </w:rPr>
              <w:t xml:space="preserve">Показател</w:t>
            </w:r>
          </w:p>
        </w:tc>
        <w:tc>
          <w:tcPr>
            <w:tcW w:type="dxa" w:w="3000"/>
            <w:shd w:fill="E9EBEF" w:color="auto" w:val="clear"/>
            <w:tcMar>
              <w:top w:type="dxa" w:w="50"/>
              <w:left w:type="dxa" w:w="110"/>
              <w:bottom w:type="dxa" w:w="50"/>
              <w:right w:type="dxa" w:w="110"/>
            </w:tcMar>
            <w:vAlign w:val="center"/>
          </w:tcPr>
          <w:p>
            <w:pPr>
              <w:spacing w:after="0" w:line="252"/>
              <w:jc w:val="left"/>
            </w:pPr>
            <w:r>
              <w:rPr>
                <w:b/>
                <w:bCs/>
                <w:color w:val="1A1F29"/>
                <w:sz w:val="21"/>
                <w:szCs w:val="21"/>
              </w:rPr>
              <w:t xml:space="preserve">Съотношение</w:t>
            </w:r>
          </w:p>
        </w:tc>
      </w:tr>
      <w:tr>
        <w:trPr>
          <w:cantSplit/>
        </w:trPr>
        <w:tc>
          <w:tcPr>
            <w:tcW w:type="dxa" w:w="6355"/>
            <w:tcMar>
              <w:top w:type="dxa" w:w="50"/>
              <w:left w:type="dxa" w:w="110"/>
              <w:bottom w:type="dxa" w:w="50"/>
              <w:right w:type="dxa" w:w="110"/>
            </w:tcMar>
            <w:vAlign w:val="center"/>
          </w:tcPr>
          <w:p>
            <w:pPr>
              <w:spacing w:after="0" w:line="252"/>
              <w:jc w:val="left"/>
            </w:pPr>
            <w:r>
              <w:rPr>
                <w:color w:val="5B6372"/>
                <w:sz w:val="21"/>
                <w:szCs w:val="21"/>
              </w:rPr>
              <w:t xml:space="preserve">FP32, теоретично</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×2,54</w:t>
            </w:r>
          </w:p>
        </w:tc>
      </w:tr>
      <w:tr>
        <w:trPr>
          <w:cantSplit/>
        </w:trPr>
        <w:tc>
          <w:tcPr>
            <w:tcW w:type="dxa" w:w="6355"/>
            <w:tcMar>
              <w:top w:type="dxa" w:w="50"/>
              <w:left w:type="dxa" w:w="110"/>
              <w:bottom w:type="dxa" w:w="50"/>
              <w:right w:type="dxa" w:w="110"/>
            </w:tcMar>
            <w:vAlign w:val="center"/>
          </w:tcPr>
          <w:p>
            <w:pPr>
              <w:spacing w:after="0" w:line="252"/>
              <w:jc w:val="left"/>
            </w:pPr>
            <w:r>
              <w:rPr>
                <w:color w:val="5B6372"/>
                <w:sz w:val="21"/>
                <w:szCs w:val="21"/>
              </w:rPr>
              <w:t xml:space="preserve">Пропускателна способност на паметта</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×1,42</w:t>
            </w:r>
          </w:p>
        </w:tc>
      </w:tr>
      <w:tr>
        <w:trPr>
          <w:cantSplit/>
        </w:trPr>
        <w:tc>
          <w:tcPr>
            <w:tcW w:type="dxa" w:w="6355"/>
            <w:tcMar>
              <w:top w:type="dxa" w:w="50"/>
              <w:left w:type="dxa" w:w="110"/>
              <w:bottom w:type="dxa" w:w="50"/>
              <w:right w:type="dxa" w:w="110"/>
            </w:tcMar>
            <w:vAlign w:val="center"/>
          </w:tcPr>
          <w:p>
            <w:pPr>
              <w:spacing w:after="0" w:line="252"/>
              <w:jc w:val="left"/>
            </w:pPr>
            <w:r>
              <w:rPr>
                <w:color w:val="5B6372"/>
                <w:sz w:val="21"/>
                <w:szCs w:val="21"/>
              </w:rPr>
              <w:t xml:space="preserve">PassMark G3D Mark</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×1,62</w:t>
            </w:r>
          </w:p>
        </w:tc>
      </w:tr>
      <w:tr>
        <w:trPr>
          <w:cantSplit/>
        </w:trPr>
        <w:tc>
          <w:tcPr>
            <w:tcW w:type="dxa" w:w="6355"/>
            <w:tcMar>
              <w:top w:type="dxa" w:w="50"/>
              <w:left w:type="dxa" w:w="110"/>
              <w:bottom w:type="dxa" w:w="50"/>
              <w:right w:type="dxa" w:w="110"/>
            </w:tcMar>
            <w:vAlign w:val="center"/>
          </w:tcPr>
          <w:p>
            <w:pPr>
              <w:spacing w:after="0" w:line="252"/>
              <w:jc w:val="left"/>
            </w:pPr>
            <w:r>
              <w:rPr>
                <w:color w:val="5B6372"/>
                <w:sz w:val="21"/>
                <w:szCs w:val="21"/>
              </w:rPr>
              <w:t xml:space="preserve">PassMark, сцена DirectX 11</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×1,26</w:t>
            </w:r>
          </w:p>
        </w:tc>
      </w:tr>
      <w:tr>
        <w:trPr>
          <w:cantSplit/>
        </w:trPr>
        <w:tc>
          <w:tcPr>
            <w:tcW w:type="dxa" w:w="6355"/>
            <w:tcMar>
              <w:top w:type="dxa" w:w="50"/>
              <w:left w:type="dxa" w:w="110"/>
              <w:bottom w:type="dxa" w:w="50"/>
              <w:right w:type="dxa" w:w="110"/>
            </w:tcMar>
            <w:vAlign w:val="center"/>
          </w:tcPr>
          <w:p>
            <w:pPr>
              <w:spacing w:after="0" w:line="252"/>
              <w:jc w:val="left"/>
            </w:pPr>
            <w:r>
              <w:rPr>
                <w:color w:val="5B6372"/>
                <w:sz w:val="21"/>
                <w:szCs w:val="21"/>
              </w:rPr>
              <w:t xml:space="preserve">PassMark, сцена DirectX 12</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×1,87</w:t>
            </w:r>
          </w:p>
        </w:tc>
      </w:tr>
      <w:tr>
        <w:trPr>
          <w:cantSplit/>
        </w:trPr>
        <w:tc>
          <w:tcPr>
            <w:tcW w:type="dxa" w:w="6355"/>
            <w:tcMar>
              <w:top w:type="dxa" w:w="50"/>
              <w:left w:type="dxa" w:w="110"/>
              <w:bottom w:type="dxa" w:w="50"/>
              <w:right w:type="dxa" w:w="110"/>
            </w:tcMar>
            <w:vAlign w:val="center"/>
          </w:tcPr>
          <w:p>
            <w:pPr>
              <w:spacing w:after="0" w:line="252"/>
              <w:jc w:val="left"/>
            </w:pPr>
            <w:r>
              <w:rPr>
                <w:color w:val="5B6372"/>
                <w:sz w:val="21"/>
                <w:szCs w:val="21"/>
              </w:rPr>
              <w:t xml:space="preserve">3DMark Time Spy (DirectX 12)</w:t>
            </w:r>
          </w:p>
        </w:tc>
        <w:tc>
          <w:tcPr>
            <w:tcW w:type="dxa" w:w="3000"/>
            <w:tcMar>
              <w:top w:type="dxa" w:w="50"/>
              <w:left w:type="dxa" w:w="110"/>
              <w:bottom w:type="dxa" w:w="50"/>
              <w:right w:type="dxa" w:w="110"/>
            </w:tcMar>
            <w:vAlign w:val="center"/>
          </w:tcPr>
          <w:p>
            <w:pPr>
              <w:spacing w:after="0" w:line="252"/>
              <w:jc w:val="left"/>
            </w:pPr>
            <w:r>
              <w:rPr>
                <w:color w:val="1A1F29"/>
                <w:sz w:val="21"/>
                <w:szCs w:val="21"/>
              </w:rPr>
              <w:t xml:space="preserve">×2,44</w:t>
            </w:r>
          </w:p>
        </w:tc>
      </w:tr>
    </w:tbl>
    <w:p>
      <w:pPr>
        <w:spacing w:before="200"/>
        <w:ind w:firstLine="709"/>
        <w:jc w:val="both"/>
      </w:pPr>
      <w:r>
        <w:t xml:space="preserve">Реалното предимство на Vega 56 варира от 26% до 2,4 пъти в зависимост от теста и почти навсякъде е по-малко от теоретичното. Най-малка е разликата при DirectX 11 – API-то, за което е проектиран Kepler и за което драйверите на NVIDIA са били дълго оптимизирани. При DirectX 12 разликата нараства рязко. Причините вече бяха описани: ниво на функционалност 11_0 и липса на ефективно async compute при Kepler, както и малкият обем видеопамет. При DirectX 10 разликата дори надхвърля два пъти, но този API днес почти не се използва.</w:t>
      </w:r>
    </w:p>
    <w:p>
      <w:pPr>
        <w:ind w:firstLine="709"/>
        <w:jc w:val="both"/>
      </w:pPr>
      <w:r>
        <w:t xml:space="preserve">Интересен показател е броят точки в PassMark на един теоретичен TFLOPS: 1922 за GTX 780 и 1225 за Vega 56. Иначе казано, Kepler използва по-пълно наличната си изчислителна мощ, а при GCN значителна част от нея остава неизползвана при по-старите API. Това е известна особеност на архитектурата GCN – тя разкрива потенциала си главно при DirectX 12, Vulkan и изчислителни задачи, където натоварването се разпределя по-добре между многото изчислителни единици.</w:t>
      </w:r>
    </w:p>
    <w:p>
      <w:pPr>
        <w:pStyle w:val="Heading1"/>
      </w:pPr>
      <w:r>
        <w:t xml:space="preserve">11. Цена и софтуерна поддръжка</w:t>
      </w:r>
    </w:p>
    <w:p>
      <w:pPr>
        <w:ind w:firstLine="709"/>
        <w:jc w:val="both"/>
      </w:pPr>
      <w:r>
        <w:t xml:space="preserve">При излизането си GTX 780 струва 649 $, а след намалението от октомври 2013 г. – 499 $. RX Vega 56 излиза четири години по-късно на цена 399 $. Ако резултатът в PassMark се раздели на началната цена, се получават 12,3 точки на долар за GTX 780 (16,0 при цена 499 $) и 32,4 за Vega 56, т.е. 2,6 пъти по-изгодно съотношение.</w:t>
      </w:r>
    </w:p>
    <w:p>
      <w:pPr>
        <w:ind w:firstLine="709"/>
        <w:jc w:val="both"/>
      </w:pPr>
      <w:r>
        <w:t xml:space="preserve">Тук има две уговорки. През 2017–2018 г. реалните цени на Vega в магазините бяха чувствително над препоръчителната, защото картите се търсеха масово за копаене на криптовалути. От друга страна, при сравнение на цени през четири години трябва да се отчита и инфлацията, която прави 649-те долара от 2013 г. още по-голяма сума.</w:t>
      </w:r>
    </w:p>
    <w:p>
      <w:pPr>
        <w:keepNext/>
        <w:spacing w:after="80" w:before="200"/>
      </w:pPr>
      <w:r>
        <w:rPr>
          <w:i/>
          <w:iCs/>
          <w:color w:val="5B6372"/>
          <w:sz w:val="22"/>
          <w:szCs w:val="22"/>
        </w:rPr>
        <w:t xml:space="preserve">Таблица 9. Хронология на пускането и поддръжката</w:t>
      </w:r>
    </w:p>
    <w:tbl>
      <w:tblPr>
        <w:tblW w:type="dxa" w:w="9355"/>
        <w:tblBorders>
          <w:top w:val="single" w:color="BFC4CC" w:sz="4"/>
          <w:left w:val="none" w:color="FFFFFF" w:sz="0"/>
          <w:bottom w:val="single" w:color="BFC4CC" w:sz="4"/>
          <w:right w:val="none" w:color="FFFFFF" w:sz="0"/>
          <w:insideH w:val="single" w:color="BFC4CC" w:sz="4"/>
          <w:insideV w:val="none" w:color="FFFFFF" w:sz="0"/>
        </w:tblBorders>
      </w:tblPr>
      <w:tblGrid>
        <w:gridCol w:w="1600"/>
        <w:gridCol w:w="7755"/>
      </w:tblGrid>
      <w:tr>
        <w:trPr>
          <w:tblHeader/>
        </w:trPr>
        <w:tc>
          <w:tcPr>
            <w:tcW w:type="dxa" w:w="1600"/>
            <w:shd w:fill="E9EBEF" w:color="auto" w:val="clear"/>
            <w:tcMar>
              <w:top w:type="dxa" w:w="50"/>
              <w:left w:type="dxa" w:w="110"/>
              <w:bottom w:type="dxa" w:w="50"/>
              <w:right w:type="dxa" w:w="110"/>
            </w:tcMar>
            <w:vAlign w:val="center"/>
          </w:tcPr>
          <w:p>
            <w:pPr>
              <w:spacing w:after="0" w:line="252"/>
              <w:jc w:val="left"/>
            </w:pPr>
            <w:r>
              <w:rPr>
                <w:b/>
                <w:bCs/>
                <w:color w:val="1A1F29"/>
                <w:sz w:val="21"/>
                <w:szCs w:val="21"/>
              </w:rPr>
              <w:t xml:space="preserve">Дата</w:t>
            </w:r>
          </w:p>
        </w:tc>
        <w:tc>
          <w:tcPr>
            <w:tcW w:type="dxa" w:w="7755"/>
            <w:shd w:fill="E9EBEF" w:color="auto" w:val="clear"/>
            <w:tcMar>
              <w:top w:type="dxa" w:w="50"/>
              <w:left w:type="dxa" w:w="110"/>
              <w:bottom w:type="dxa" w:w="50"/>
              <w:right w:type="dxa" w:w="110"/>
            </w:tcMar>
            <w:vAlign w:val="center"/>
          </w:tcPr>
          <w:p>
            <w:pPr>
              <w:spacing w:after="0" w:line="252"/>
              <w:jc w:val="left"/>
            </w:pPr>
            <w:r>
              <w:rPr>
                <w:b/>
                <w:bCs/>
                <w:color w:val="1A1F29"/>
                <w:sz w:val="21"/>
                <w:szCs w:val="21"/>
              </w:rPr>
              <w:t xml:space="preserve">Събитие</w:t>
            </w:r>
          </w:p>
        </w:tc>
      </w:tr>
      <w:tr>
        <w:trPr>
          <w:cantSplit/>
        </w:trPr>
        <w:tc>
          <w:tcPr>
            <w:tcW w:type="dxa" w:w="1600"/>
            <w:tcMar>
              <w:top w:type="dxa" w:w="50"/>
              <w:left w:type="dxa" w:w="110"/>
              <w:bottom w:type="dxa" w:w="50"/>
              <w:right w:type="dxa" w:w="110"/>
            </w:tcMar>
            <w:vAlign w:val="center"/>
          </w:tcPr>
          <w:p>
            <w:pPr>
              <w:spacing w:after="0" w:line="252"/>
              <w:jc w:val="left"/>
            </w:pPr>
            <w:r>
              <w:rPr>
                <w:color w:val="5B6372"/>
                <w:sz w:val="21"/>
                <w:szCs w:val="21"/>
              </w:rPr>
              <w:t xml:space="preserve">05.2013</w:t>
            </w:r>
          </w:p>
        </w:tc>
        <w:tc>
          <w:tcPr>
            <w:tcW w:type="dxa" w:w="7755"/>
            <w:tcMar>
              <w:top w:type="dxa" w:w="50"/>
              <w:left w:type="dxa" w:w="110"/>
              <w:bottom w:type="dxa" w:w="50"/>
              <w:right w:type="dxa" w:w="110"/>
            </w:tcMar>
            <w:vAlign w:val="center"/>
          </w:tcPr>
          <w:p>
            <w:pPr>
              <w:spacing w:after="0" w:line="252"/>
              <w:jc w:val="left"/>
            </w:pPr>
            <w:r>
              <w:rPr>
                <w:color w:val="1A1F29"/>
                <w:sz w:val="21"/>
                <w:szCs w:val="21"/>
              </w:rPr>
              <w:t xml:space="preserve">GeForce GTX 780 излиза на пазара (649 $)</w:t>
            </w:r>
          </w:p>
        </w:tc>
      </w:tr>
      <w:tr>
        <w:trPr>
          <w:cantSplit/>
        </w:trPr>
        <w:tc>
          <w:tcPr>
            <w:tcW w:type="dxa" w:w="1600"/>
            <w:tcMar>
              <w:top w:type="dxa" w:w="50"/>
              <w:left w:type="dxa" w:w="110"/>
              <w:bottom w:type="dxa" w:w="50"/>
              <w:right w:type="dxa" w:w="110"/>
            </w:tcMar>
            <w:vAlign w:val="center"/>
          </w:tcPr>
          <w:p>
            <w:pPr>
              <w:spacing w:after="0" w:line="252"/>
              <w:jc w:val="left"/>
            </w:pPr>
            <w:r>
              <w:rPr>
                <w:color w:val="5B6372"/>
                <w:sz w:val="21"/>
                <w:szCs w:val="21"/>
              </w:rPr>
              <w:t xml:space="preserve">10.2013</w:t>
            </w:r>
          </w:p>
        </w:tc>
        <w:tc>
          <w:tcPr>
            <w:tcW w:type="dxa" w:w="7755"/>
            <w:tcMar>
              <w:top w:type="dxa" w:w="50"/>
              <w:left w:type="dxa" w:w="110"/>
              <w:bottom w:type="dxa" w:w="50"/>
              <w:right w:type="dxa" w:w="110"/>
            </w:tcMar>
            <w:vAlign w:val="center"/>
          </w:tcPr>
          <w:p>
            <w:pPr>
              <w:spacing w:after="0" w:line="252"/>
              <w:jc w:val="left"/>
            </w:pPr>
            <w:r>
              <w:rPr>
                <w:color w:val="1A1F29"/>
                <w:sz w:val="21"/>
                <w:szCs w:val="21"/>
              </w:rPr>
              <w:t xml:space="preserve">NVIDIA намалява цената на GTX 780 до 499 $</w:t>
            </w:r>
          </w:p>
        </w:tc>
      </w:tr>
      <w:tr>
        <w:trPr>
          <w:cantSplit/>
        </w:trPr>
        <w:tc>
          <w:tcPr>
            <w:tcW w:type="dxa" w:w="1600"/>
            <w:tcMar>
              <w:top w:type="dxa" w:w="50"/>
              <w:left w:type="dxa" w:w="110"/>
              <w:bottom w:type="dxa" w:w="50"/>
              <w:right w:type="dxa" w:w="110"/>
            </w:tcMar>
            <w:vAlign w:val="center"/>
          </w:tcPr>
          <w:p>
            <w:pPr>
              <w:spacing w:after="0" w:line="252"/>
              <w:jc w:val="left"/>
            </w:pPr>
            <w:r>
              <w:rPr>
                <w:color w:val="5B6372"/>
                <w:sz w:val="21"/>
                <w:szCs w:val="21"/>
              </w:rPr>
              <w:t xml:space="preserve">08.2017</w:t>
            </w:r>
          </w:p>
        </w:tc>
        <w:tc>
          <w:tcPr>
            <w:tcW w:type="dxa" w:w="7755"/>
            <w:tcMar>
              <w:top w:type="dxa" w:w="50"/>
              <w:left w:type="dxa" w:w="110"/>
              <w:bottom w:type="dxa" w:w="50"/>
              <w:right w:type="dxa" w:w="110"/>
            </w:tcMar>
            <w:vAlign w:val="center"/>
          </w:tcPr>
          <w:p>
            <w:pPr>
              <w:spacing w:after="0" w:line="252"/>
              <w:jc w:val="left"/>
            </w:pPr>
            <w:r>
              <w:rPr>
                <w:color w:val="1A1F29"/>
                <w:sz w:val="21"/>
                <w:szCs w:val="21"/>
              </w:rPr>
              <w:t xml:space="preserve">Radeon RX Vega 56 излиза на пазара (399 $)</w:t>
            </w:r>
          </w:p>
        </w:tc>
      </w:tr>
      <w:tr>
        <w:trPr>
          <w:cantSplit/>
        </w:trPr>
        <w:tc>
          <w:tcPr>
            <w:tcW w:type="dxa" w:w="1600"/>
            <w:tcMar>
              <w:top w:type="dxa" w:w="50"/>
              <w:left w:type="dxa" w:w="110"/>
              <w:bottom w:type="dxa" w:w="50"/>
              <w:right w:type="dxa" w:w="110"/>
            </w:tcMar>
            <w:vAlign w:val="center"/>
          </w:tcPr>
          <w:p>
            <w:pPr>
              <w:spacing w:after="0" w:line="252"/>
              <w:jc w:val="left"/>
            </w:pPr>
            <w:r>
              <w:rPr>
                <w:color w:val="5B6372"/>
                <w:sz w:val="21"/>
                <w:szCs w:val="21"/>
              </w:rPr>
              <w:t xml:space="preserve">08.2021</w:t>
            </w:r>
          </w:p>
        </w:tc>
        <w:tc>
          <w:tcPr>
            <w:tcW w:type="dxa" w:w="7755"/>
            <w:tcMar>
              <w:top w:type="dxa" w:w="50"/>
              <w:left w:type="dxa" w:w="110"/>
              <w:bottom w:type="dxa" w:w="50"/>
              <w:right w:type="dxa" w:w="110"/>
            </w:tcMar>
            <w:vAlign w:val="center"/>
          </w:tcPr>
          <w:p>
            <w:pPr>
              <w:spacing w:after="0" w:line="252"/>
              <w:jc w:val="left"/>
            </w:pPr>
            <w:r>
              <w:rPr>
                <w:color w:val="1A1F29"/>
                <w:sz w:val="21"/>
                <w:szCs w:val="21"/>
              </w:rPr>
              <w:t xml:space="preserve">Последни Game Ready драйвери за Kepler (клон R470)</w:t>
            </w:r>
          </w:p>
        </w:tc>
      </w:tr>
      <w:tr>
        <w:trPr>
          <w:cantSplit/>
        </w:trPr>
        <w:tc>
          <w:tcPr>
            <w:tcW w:type="dxa" w:w="1600"/>
            <w:tcMar>
              <w:top w:type="dxa" w:w="50"/>
              <w:left w:type="dxa" w:w="110"/>
              <w:bottom w:type="dxa" w:w="50"/>
              <w:right w:type="dxa" w:w="110"/>
            </w:tcMar>
            <w:vAlign w:val="center"/>
          </w:tcPr>
          <w:p>
            <w:pPr>
              <w:spacing w:after="0" w:line="252"/>
              <w:jc w:val="left"/>
            </w:pPr>
            <w:r>
              <w:rPr>
                <w:color w:val="5B6372"/>
                <w:sz w:val="21"/>
                <w:szCs w:val="21"/>
              </w:rPr>
              <w:t xml:space="preserve">12.2022</w:t>
            </w:r>
          </w:p>
        </w:tc>
        <w:tc>
          <w:tcPr>
            <w:tcW w:type="dxa" w:w="7755"/>
            <w:tcMar>
              <w:top w:type="dxa" w:w="50"/>
              <w:left w:type="dxa" w:w="110"/>
              <w:bottom w:type="dxa" w:w="50"/>
              <w:right w:type="dxa" w:w="110"/>
            </w:tcMar>
            <w:vAlign w:val="center"/>
          </w:tcPr>
          <w:p>
            <w:pPr>
              <w:spacing w:after="0" w:line="252"/>
              <w:jc w:val="left"/>
            </w:pPr>
            <w:r>
              <w:rPr>
                <w:color w:val="1A1F29"/>
                <w:sz w:val="21"/>
                <w:szCs w:val="21"/>
              </w:rPr>
              <w:t xml:space="preserve">CUDA 12.0 премахва поддръжката на Kepler</w:t>
            </w:r>
          </w:p>
        </w:tc>
      </w:tr>
      <w:tr>
        <w:trPr>
          <w:cantSplit/>
        </w:trPr>
        <w:tc>
          <w:tcPr>
            <w:tcW w:type="dxa" w:w="1600"/>
            <w:tcMar>
              <w:top w:type="dxa" w:w="50"/>
              <w:left w:type="dxa" w:w="110"/>
              <w:bottom w:type="dxa" w:w="50"/>
              <w:right w:type="dxa" w:w="110"/>
            </w:tcMar>
            <w:vAlign w:val="center"/>
          </w:tcPr>
          <w:p>
            <w:pPr>
              <w:spacing w:after="0" w:line="252"/>
              <w:jc w:val="left"/>
            </w:pPr>
            <w:r>
              <w:rPr>
                <w:color w:val="5B6372"/>
                <w:sz w:val="21"/>
                <w:szCs w:val="21"/>
              </w:rPr>
              <w:t xml:space="preserve">11.2023</w:t>
            </w:r>
          </w:p>
        </w:tc>
        <w:tc>
          <w:tcPr>
            <w:tcW w:type="dxa" w:w="7755"/>
            <w:tcMar>
              <w:top w:type="dxa" w:w="50"/>
              <w:left w:type="dxa" w:w="110"/>
              <w:bottom w:type="dxa" w:w="50"/>
              <w:right w:type="dxa" w:w="110"/>
            </w:tcMar>
            <w:vAlign w:val="center"/>
          </w:tcPr>
          <w:p>
            <w:pPr>
              <w:spacing w:after="0" w:line="252"/>
              <w:jc w:val="left"/>
            </w:pPr>
            <w:r>
              <w:rPr>
                <w:color w:val="1A1F29"/>
                <w:sz w:val="21"/>
                <w:szCs w:val="21"/>
              </w:rPr>
              <w:t xml:space="preserve">AMD прехвърля Polaris и Vega в отделен клон драйвери, без нови оптимизации</w:t>
            </w:r>
          </w:p>
        </w:tc>
      </w:tr>
      <w:tr>
        <w:trPr>
          <w:cantSplit/>
        </w:trPr>
        <w:tc>
          <w:tcPr>
            <w:tcW w:type="dxa" w:w="1600"/>
            <w:tcMar>
              <w:top w:type="dxa" w:w="50"/>
              <w:left w:type="dxa" w:w="110"/>
              <w:bottom w:type="dxa" w:w="50"/>
              <w:right w:type="dxa" w:w="110"/>
            </w:tcMar>
            <w:vAlign w:val="center"/>
          </w:tcPr>
          <w:p>
            <w:pPr>
              <w:spacing w:after="0" w:line="252"/>
              <w:jc w:val="left"/>
            </w:pPr>
            <w:r>
              <w:rPr>
                <w:color w:val="5B6372"/>
                <w:sz w:val="21"/>
                <w:szCs w:val="21"/>
              </w:rPr>
              <w:t xml:space="preserve">09.2024</w:t>
            </w:r>
          </w:p>
        </w:tc>
        <w:tc>
          <w:tcPr>
            <w:tcW w:type="dxa" w:w="7755"/>
            <w:tcMar>
              <w:top w:type="dxa" w:w="50"/>
              <w:left w:type="dxa" w:w="110"/>
              <w:bottom w:type="dxa" w:w="50"/>
              <w:right w:type="dxa" w:w="110"/>
            </w:tcMar>
            <w:vAlign w:val="center"/>
          </w:tcPr>
          <w:p>
            <w:pPr>
              <w:spacing w:after="0" w:line="252"/>
              <w:jc w:val="left"/>
            </w:pPr>
            <w:r>
              <w:rPr>
                <w:color w:val="1A1F29"/>
                <w:sz w:val="21"/>
                <w:szCs w:val="21"/>
              </w:rPr>
              <w:t xml:space="preserve">Край на актуализациите за сигурност за Kepler</w:t>
            </w:r>
          </w:p>
        </w:tc>
      </w:tr>
      <w:tr>
        <w:trPr>
          <w:cantSplit/>
        </w:trPr>
        <w:tc>
          <w:tcPr>
            <w:tcW w:type="dxa" w:w="1600"/>
            <w:tcMar>
              <w:top w:type="dxa" w:w="50"/>
              <w:left w:type="dxa" w:w="110"/>
              <w:bottom w:type="dxa" w:w="50"/>
              <w:right w:type="dxa" w:w="110"/>
            </w:tcMar>
            <w:vAlign w:val="center"/>
          </w:tcPr>
          <w:p>
            <w:pPr>
              <w:spacing w:after="0" w:line="252"/>
              <w:jc w:val="left"/>
            </w:pPr>
            <w:r>
              <w:rPr>
                <w:color w:val="5B6372"/>
                <w:sz w:val="21"/>
                <w:szCs w:val="21"/>
              </w:rPr>
              <w:t xml:space="preserve">05.2026</w:t>
            </w:r>
          </w:p>
        </w:tc>
        <w:tc>
          <w:tcPr>
            <w:tcW w:type="dxa" w:w="7755"/>
            <w:tcMar>
              <w:top w:type="dxa" w:w="50"/>
              <w:left w:type="dxa" w:w="110"/>
              <w:bottom w:type="dxa" w:w="50"/>
              <w:right w:type="dxa" w:w="110"/>
            </w:tcMar>
            <w:vAlign w:val="center"/>
          </w:tcPr>
          <w:p>
            <w:pPr>
              <w:spacing w:after="0" w:line="252"/>
              <w:jc w:val="left"/>
            </w:pPr>
            <w:r>
              <w:rPr>
                <w:color w:val="1A1F29"/>
                <w:sz w:val="21"/>
                <w:szCs w:val="21"/>
              </w:rPr>
              <w:t xml:space="preserve">Adrenalin 26.5.2: Polaris и Vega официално преминават в legacy фаза</w:t>
            </w:r>
          </w:p>
        </w:tc>
      </w:tr>
    </w:tbl>
    <w:p>
      <w:pPr>
        <w:spacing w:before="200"/>
        <w:ind w:firstLine="709"/>
        <w:jc w:val="both"/>
      </w:pPr>
      <w:r>
        <w:t xml:space="preserve">Към края на 2026 г. и двете карти са в края на жизнения си цикъл. GTX 780 не получава никакви драйвери от септември 2024 г. и не се поддържа от актуалните версии на CUDA. Vega 56 е в по-добро положение: след май 2026 г. AMD я поддържа в отделен legacy клон, който получава поправки на грешки, съвместимост с новите версии на операционната система и актуализации за сигурност, но не и оптимизации за нови игри.</w:t>
      </w:r>
    </w:p>
    <w:p>
      <w:pPr>
        <w:pStyle w:val="Heading1"/>
      </w:pPr>
      <w:r>
        <w:t xml:space="preserve">12. Обобщение и изводи</w:t>
      </w:r>
    </w:p>
    <w:p>
      <w:pPr>
        <w:ind w:firstLine="709"/>
        <w:jc w:val="both"/>
      </w:pPr>
      <w:r>
        <w:t xml:space="preserve">Резултатите по отделните показатели са обобщени в табл. 10.</w:t>
      </w:r>
    </w:p>
    <w:p>
      <w:pPr>
        <w:keepNext/>
        <w:spacing w:after="80" w:before="200"/>
      </w:pPr>
      <w:r>
        <w:rPr>
          <w:i/>
          <w:iCs/>
          <w:color w:val="5B6372"/>
          <w:sz w:val="22"/>
          <w:szCs w:val="22"/>
        </w:rPr>
        <w:t xml:space="preserve">Таблица 10. Обобщение по показатели</w:t>
      </w:r>
    </w:p>
    <w:tbl>
      <w:tblPr>
        <w:tblW w:type="dxa" w:w="9355"/>
        <w:tblBorders>
          <w:top w:val="single" w:color="BFC4CC" w:sz="4"/>
          <w:left w:val="none" w:color="FFFFFF" w:sz="0"/>
          <w:bottom w:val="single" w:color="BFC4CC" w:sz="4"/>
          <w:right w:val="none" w:color="FFFFFF" w:sz="0"/>
          <w:insideH w:val="single" w:color="BFC4CC" w:sz="4"/>
          <w:insideV w:val="none" w:color="FFFFFF" w:sz="0"/>
        </w:tblBorders>
      </w:tblPr>
      <w:tblGrid>
        <w:gridCol w:w="2755"/>
        <w:gridCol w:w="2300"/>
        <w:gridCol w:w="2500"/>
        <w:gridCol w:w="1800"/>
      </w:tblGrid>
      <w:tr>
        <w:trPr>
          <w:tblHeader/>
        </w:trPr>
        <w:tc>
          <w:tcPr>
            <w:tcW w:type="dxa" w:w="2755"/>
            <w:shd w:fill="E9EBEF" w:color="auto" w:val="clear"/>
            <w:tcMar>
              <w:top w:type="dxa" w:w="50"/>
              <w:left w:type="dxa" w:w="110"/>
              <w:bottom w:type="dxa" w:w="50"/>
              <w:right w:type="dxa" w:w="110"/>
            </w:tcMar>
            <w:vAlign w:val="center"/>
          </w:tcPr>
          <w:p>
            <w:pPr>
              <w:spacing w:after="0" w:line="252"/>
              <w:jc w:val="left"/>
            </w:pPr>
            <w:r>
              <w:rPr>
                <w:b/>
                <w:bCs/>
                <w:color w:val="1A1F29"/>
                <w:sz w:val="21"/>
                <w:szCs w:val="21"/>
              </w:rPr>
              <w:t xml:space="preserve">Показател</w:t>
            </w:r>
          </w:p>
        </w:tc>
        <w:tc>
          <w:tcPr>
            <w:tcW w:type="dxa" w:w="2300"/>
            <w:shd w:fill="E9EBEF" w:color="auto" w:val="clear"/>
            <w:tcMar>
              <w:top w:type="dxa" w:w="50"/>
              <w:left w:type="dxa" w:w="110"/>
              <w:bottom w:type="dxa" w:w="50"/>
              <w:right w:type="dxa" w:w="110"/>
            </w:tcMar>
            <w:vAlign w:val="center"/>
          </w:tcPr>
          <w:p>
            <w:pPr>
              <w:spacing w:after="0" w:line="252"/>
              <w:jc w:val="left"/>
            </w:pPr>
            <w:r>
              <w:rPr>
                <w:b/>
                <w:bCs/>
                <w:color w:val="4E7D00"/>
                <w:sz w:val="21"/>
                <w:szCs w:val="21"/>
              </w:rPr>
              <w:t xml:space="preserve">GeForce GTX 780</w:t>
            </w:r>
          </w:p>
        </w:tc>
        <w:tc>
          <w:tcPr>
            <w:tcW w:type="dxa" w:w="2500"/>
            <w:shd w:fill="E9EBEF" w:color="auto" w:val="clear"/>
            <w:tcMar>
              <w:top w:type="dxa" w:w="50"/>
              <w:left w:type="dxa" w:w="110"/>
              <w:bottom w:type="dxa" w:w="50"/>
              <w:right w:type="dxa" w:w="110"/>
            </w:tcMar>
            <w:vAlign w:val="center"/>
          </w:tcPr>
          <w:p>
            <w:pPr>
              <w:spacing w:after="0" w:line="252"/>
              <w:jc w:val="left"/>
            </w:pPr>
            <w:r>
              <w:rPr>
                <w:b/>
                <w:bCs/>
                <w:color w:val="C4161C"/>
                <w:sz w:val="21"/>
                <w:szCs w:val="21"/>
              </w:rPr>
              <w:t xml:space="preserve">Radeon RX Vega 56</w:t>
            </w:r>
          </w:p>
        </w:tc>
        <w:tc>
          <w:tcPr>
            <w:tcW w:type="dxa" w:w="1800"/>
            <w:shd w:fill="E9EBEF" w:color="auto" w:val="clear"/>
            <w:tcMar>
              <w:top w:type="dxa" w:w="50"/>
              <w:left w:type="dxa" w:w="110"/>
              <w:bottom w:type="dxa" w:w="50"/>
              <w:right w:type="dxa" w:w="110"/>
            </w:tcMar>
            <w:vAlign w:val="center"/>
          </w:tcPr>
          <w:p>
            <w:pPr>
              <w:spacing w:after="0" w:line="252"/>
              <w:jc w:val="left"/>
            </w:pPr>
            <w:r>
              <w:rPr>
                <w:b/>
                <w:bCs/>
                <w:color w:val="1A1F29"/>
                <w:sz w:val="21"/>
                <w:szCs w:val="21"/>
              </w:rPr>
              <w:t xml:space="preserve">Предимство</w:t>
            </w:r>
          </w:p>
        </w:tc>
      </w:tr>
      <w:tr>
        <w:trPr>
          <w:cantSplit/>
        </w:trPr>
        <w:tc>
          <w:tcPr>
            <w:tcW w:type="dxa" w:w="2755"/>
            <w:tcMar>
              <w:top w:type="dxa" w:w="50"/>
              <w:left w:type="dxa" w:w="110"/>
              <w:bottom w:type="dxa" w:w="50"/>
              <w:right w:type="dxa" w:w="110"/>
            </w:tcMar>
            <w:vAlign w:val="center"/>
          </w:tcPr>
          <w:p>
            <w:pPr>
              <w:spacing w:after="0" w:line="252"/>
              <w:jc w:val="left"/>
            </w:pPr>
            <w:r>
              <w:rPr>
                <w:color w:val="5B6372"/>
                <w:sz w:val="21"/>
                <w:szCs w:val="21"/>
              </w:rPr>
              <w:t xml:space="preserve">Технологичен процес</w:t>
            </w:r>
          </w:p>
        </w:tc>
        <w:tc>
          <w:tcPr>
            <w:tcW w:type="dxa" w:w="2300"/>
            <w:tcMar>
              <w:top w:type="dxa" w:w="50"/>
              <w:left w:type="dxa" w:w="110"/>
              <w:bottom w:type="dxa" w:w="50"/>
              <w:right w:type="dxa" w:w="110"/>
            </w:tcMar>
            <w:vAlign w:val="center"/>
          </w:tcPr>
          <w:p>
            <w:pPr>
              <w:spacing w:after="0" w:line="252"/>
              <w:jc w:val="left"/>
            </w:pPr>
            <w:r>
              <w:rPr>
                <w:color w:val="1A1F29"/>
                <w:sz w:val="21"/>
                <w:szCs w:val="21"/>
              </w:rPr>
              <w:t xml:space="preserve">28 nm, 12,6 млн./mm²</w:t>
            </w:r>
          </w:p>
        </w:tc>
        <w:tc>
          <w:tcPr>
            <w:tcW w:type="dxa" w:w="2500"/>
            <w:tcMar>
              <w:top w:type="dxa" w:w="50"/>
              <w:left w:type="dxa" w:w="110"/>
              <w:bottom w:type="dxa" w:w="50"/>
              <w:right w:type="dxa" w:w="110"/>
            </w:tcMar>
            <w:vAlign w:val="center"/>
          </w:tcPr>
          <w:p>
            <w:pPr>
              <w:spacing w:after="0" w:line="252"/>
              <w:jc w:val="left"/>
            </w:pPr>
            <w:r>
              <w:rPr>
                <w:color w:val="1A1F29"/>
                <w:sz w:val="21"/>
                <w:szCs w:val="21"/>
              </w:rPr>
              <w:t xml:space="preserve">14 nm FinFET, 25,7 млн./mm²</w:t>
            </w:r>
          </w:p>
        </w:tc>
        <w:tc>
          <w:tcPr>
            <w:tcW w:type="dxa" w:w="1800"/>
            <w:tcMar>
              <w:top w:type="dxa" w:w="50"/>
              <w:left w:type="dxa" w:w="110"/>
              <w:bottom w:type="dxa" w:w="50"/>
              <w:right w:type="dxa" w:w="110"/>
            </w:tcMar>
            <w:vAlign w:val="center"/>
          </w:tcPr>
          <w:p>
            <w:pPr>
              <w:spacing w:after="0" w:line="252"/>
              <w:jc w:val="left"/>
            </w:pPr>
            <w:r>
              <w:rPr>
                <w:color w:val="1A1F29"/>
                <w:sz w:val="21"/>
                <w:szCs w:val="21"/>
              </w:rPr>
              <w:t xml:space="preserve">RX Vega 56</w:t>
            </w:r>
          </w:p>
        </w:tc>
      </w:tr>
      <w:tr>
        <w:trPr>
          <w:cantSplit/>
        </w:trPr>
        <w:tc>
          <w:tcPr>
            <w:tcW w:type="dxa" w:w="2755"/>
            <w:tcMar>
              <w:top w:type="dxa" w:w="50"/>
              <w:left w:type="dxa" w:w="110"/>
              <w:bottom w:type="dxa" w:w="50"/>
              <w:right w:type="dxa" w:w="110"/>
            </w:tcMar>
            <w:vAlign w:val="center"/>
          </w:tcPr>
          <w:p>
            <w:pPr>
              <w:spacing w:after="0" w:line="252"/>
              <w:jc w:val="left"/>
            </w:pPr>
            <w:r>
              <w:rPr>
                <w:color w:val="5B6372"/>
                <w:sz w:val="21"/>
                <w:szCs w:val="21"/>
              </w:rPr>
              <w:t xml:space="preserve">Изчислителна мощ (FP32)</w:t>
            </w:r>
          </w:p>
        </w:tc>
        <w:tc>
          <w:tcPr>
            <w:tcW w:type="dxa" w:w="2300"/>
            <w:tcMar>
              <w:top w:type="dxa" w:w="50"/>
              <w:left w:type="dxa" w:w="110"/>
              <w:bottom w:type="dxa" w:w="50"/>
              <w:right w:type="dxa" w:w="110"/>
            </w:tcMar>
            <w:vAlign w:val="center"/>
          </w:tcPr>
          <w:p>
            <w:pPr>
              <w:spacing w:after="0" w:line="252"/>
              <w:jc w:val="left"/>
            </w:pPr>
            <w:r>
              <w:rPr>
                <w:color w:val="1A1F29"/>
                <w:sz w:val="21"/>
                <w:szCs w:val="21"/>
              </w:rPr>
              <w:t xml:space="preserve">4,15 TFLOPS</w:t>
            </w:r>
          </w:p>
        </w:tc>
        <w:tc>
          <w:tcPr>
            <w:tcW w:type="dxa" w:w="2500"/>
            <w:tcMar>
              <w:top w:type="dxa" w:w="50"/>
              <w:left w:type="dxa" w:w="110"/>
              <w:bottom w:type="dxa" w:w="50"/>
              <w:right w:type="dxa" w:w="110"/>
            </w:tcMar>
            <w:vAlign w:val="center"/>
          </w:tcPr>
          <w:p>
            <w:pPr>
              <w:spacing w:after="0" w:line="252"/>
              <w:jc w:val="left"/>
            </w:pPr>
            <w:r>
              <w:rPr>
                <w:color w:val="1A1F29"/>
                <w:sz w:val="21"/>
                <w:szCs w:val="21"/>
              </w:rPr>
              <w:t xml:space="preserve">10,54 TFLOPS</w:t>
            </w:r>
          </w:p>
        </w:tc>
        <w:tc>
          <w:tcPr>
            <w:tcW w:type="dxa" w:w="1800"/>
            <w:tcMar>
              <w:top w:type="dxa" w:w="50"/>
              <w:left w:type="dxa" w:w="110"/>
              <w:bottom w:type="dxa" w:w="50"/>
              <w:right w:type="dxa" w:w="110"/>
            </w:tcMar>
            <w:vAlign w:val="center"/>
          </w:tcPr>
          <w:p>
            <w:pPr>
              <w:spacing w:after="0" w:line="252"/>
              <w:jc w:val="left"/>
            </w:pPr>
            <w:r>
              <w:rPr>
                <w:color w:val="1A1F29"/>
                <w:sz w:val="21"/>
                <w:szCs w:val="21"/>
              </w:rPr>
              <w:t xml:space="preserve">RX Vega 56</w:t>
            </w:r>
          </w:p>
        </w:tc>
      </w:tr>
      <w:tr>
        <w:trPr>
          <w:cantSplit/>
        </w:trPr>
        <w:tc>
          <w:tcPr>
            <w:tcW w:type="dxa" w:w="2755"/>
            <w:tcMar>
              <w:top w:type="dxa" w:w="50"/>
              <w:left w:type="dxa" w:w="110"/>
              <w:bottom w:type="dxa" w:w="50"/>
              <w:right w:type="dxa" w:w="110"/>
            </w:tcMar>
            <w:vAlign w:val="center"/>
          </w:tcPr>
          <w:p>
            <w:pPr>
              <w:spacing w:after="0" w:line="252"/>
              <w:jc w:val="left"/>
            </w:pPr>
            <w:r>
              <w:rPr>
                <w:color w:val="5B6372"/>
                <w:sz w:val="21"/>
                <w:szCs w:val="21"/>
              </w:rPr>
              <w:t xml:space="preserve">Използване на теоретичната мощ</w:t>
            </w:r>
          </w:p>
        </w:tc>
        <w:tc>
          <w:tcPr>
            <w:tcW w:type="dxa" w:w="2300"/>
            <w:tcMar>
              <w:top w:type="dxa" w:w="50"/>
              <w:left w:type="dxa" w:w="110"/>
              <w:bottom w:type="dxa" w:w="50"/>
              <w:right w:type="dxa" w:w="110"/>
            </w:tcMar>
            <w:vAlign w:val="center"/>
          </w:tcPr>
          <w:p>
            <w:pPr>
              <w:spacing w:after="0" w:line="252"/>
              <w:jc w:val="left"/>
            </w:pPr>
            <w:r>
              <w:rPr>
                <w:color w:val="1A1F29"/>
                <w:sz w:val="21"/>
                <w:szCs w:val="21"/>
              </w:rPr>
              <w:t xml:space="preserve">1922 точки/TFLOPS</w:t>
            </w:r>
          </w:p>
        </w:tc>
        <w:tc>
          <w:tcPr>
            <w:tcW w:type="dxa" w:w="2500"/>
            <w:tcMar>
              <w:top w:type="dxa" w:w="50"/>
              <w:left w:type="dxa" w:w="110"/>
              <w:bottom w:type="dxa" w:w="50"/>
              <w:right w:type="dxa" w:w="110"/>
            </w:tcMar>
            <w:vAlign w:val="center"/>
          </w:tcPr>
          <w:p>
            <w:pPr>
              <w:spacing w:after="0" w:line="252"/>
              <w:jc w:val="left"/>
            </w:pPr>
            <w:r>
              <w:rPr>
                <w:color w:val="1A1F29"/>
                <w:sz w:val="21"/>
                <w:szCs w:val="21"/>
              </w:rPr>
              <w:t xml:space="preserve">1225 точки/TFLOPS</w:t>
            </w:r>
          </w:p>
        </w:tc>
        <w:tc>
          <w:tcPr>
            <w:tcW w:type="dxa" w:w="1800"/>
            <w:tcMar>
              <w:top w:type="dxa" w:w="50"/>
              <w:left w:type="dxa" w:w="110"/>
              <w:bottom w:type="dxa" w:w="50"/>
              <w:right w:type="dxa" w:w="110"/>
            </w:tcMar>
            <w:vAlign w:val="center"/>
          </w:tcPr>
          <w:p>
            <w:pPr>
              <w:spacing w:after="0" w:line="252"/>
              <w:jc w:val="left"/>
            </w:pPr>
            <w:r>
              <w:rPr>
                <w:color w:val="1A1F29"/>
                <w:sz w:val="21"/>
                <w:szCs w:val="21"/>
              </w:rPr>
              <w:t xml:space="preserve">GTX 780</w:t>
            </w:r>
          </w:p>
        </w:tc>
      </w:tr>
      <w:tr>
        <w:trPr>
          <w:cantSplit/>
        </w:trPr>
        <w:tc>
          <w:tcPr>
            <w:tcW w:type="dxa" w:w="2755"/>
            <w:tcMar>
              <w:top w:type="dxa" w:w="50"/>
              <w:left w:type="dxa" w:w="110"/>
              <w:bottom w:type="dxa" w:w="50"/>
              <w:right w:type="dxa" w:w="110"/>
            </w:tcMar>
            <w:vAlign w:val="center"/>
          </w:tcPr>
          <w:p>
            <w:pPr>
              <w:spacing w:after="0" w:line="252"/>
              <w:jc w:val="left"/>
            </w:pPr>
            <w:r>
              <w:rPr>
                <w:color w:val="5B6372"/>
                <w:sz w:val="21"/>
                <w:szCs w:val="21"/>
              </w:rPr>
              <w:t xml:space="preserve">Видеопамет</w:t>
            </w:r>
          </w:p>
        </w:tc>
        <w:tc>
          <w:tcPr>
            <w:tcW w:type="dxa" w:w="2300"/>
            <w:tcMar>
              <w:top w:type="dxa" w:w="50"/>
              <w:left w:type="dxa" w:w="110"/>
              <w:bottom w:type="dxa" w:w="50"/>
              <w:right w:type="dxa" w:w="110"/>
            </w:tcMar>
            <w:vAlign w:val="center"/>
          </w:tcPr>
          <w:p>
            <w:pPr>
              <w:spacing w:after="0" w:line="252"/>
              <w:jc w:val="left"/>
            </w:pPr>
            <w:r>
              <w:rPr>
                <w:color w:val="1A1F29"/>
                <w:sz w:val="21"/>
                <w:szCs w:val="21"/>
              </w:rPr>
              <w:t xml:space="preserve">3 GB GDDR5, 288 GB/s</w:t>
            </w:r>
          </w:p>
        </w:tc>
        <w:tc>
          <w:tcPr>
            <w:tcW w:type="dxa" w:w="2500"/>
            <w:tcMar>
              <w:top w:type="dxa" w:w="50"/>
              <w:left w:type="dxa" w:w="110"/>
              <w:bottom w:type="dxa" w:w="50"/>
              <w:right w:type="dxa" w:w="110"/>
            </w:tcMar>
            <w:vAlign w:val="center"/>
          </w:tcPr>
          <w:p>
            <w:pPr>
              <w:spacing w:after="0" w:line="252"/>
              <w:jc w:val="left"/>
            </w:pPr>
            <w:r>
              <w:rPr>
                <w:color w:val="1A1F29"/>
                <w:sz w:val="21"/>
                <w:szCs w:val="21"/>
              </w:rPr>
              <w:t xml:space="preserve">8 GB HBM2, 410 GB/s</w:t>
            </w:r>
          </w:p>
        </w:tc>
        <w:tc>
          <w:tcPr>
            <w:tcW w:type="dxa" w:w="1800"/>
            <w:tcMar>
              <w:top w:type="dxa" w:w="50"/>
              <w:left w:type="dxa" w:w="110"/>
              <w:bottom w:type="dxa" w:w="50"/>
              <w:right w:type="dxa" w:w="110"/>
            </w:tcMar>
            <w:vAlign w:val="center"/>
          </w:tcPr>
          <w:p>
            <w:pPr>
              <w:spacing w:after="0" w:line="252"/>
              <w:jc w:val="left"/>
            </w:pPr>
            <w:r>
              <w:rPr>
                <w:color w:val="1A1F29"/>
                <w:sz w:val="21"/>
                <w:szCs w:val="21"/>
              </w:rPr>
              <w:t xml:space="preserve">RX Vega 56</w:t>
            </w:r>
          </w:p>
        </w:tc>
      </w:tr>
      <w:tr>
        <w:trPr>
          <w:cantSplit/>
        </w:trPr>
        <w:tc>
          <w:tcPr>
            <w:tcW w:type="dxa" w:w="2755"/>
            <w:tcMar>
              <w:top w:type="dxa" w:w="50"/>
              <w:left w:type="dxa" w:w="110"/>
              <w:bottom w:type="dxa" w:w="50"/>
              <w:right w:type="dxa" w:w="110"/>
            </w:tcMar>
            <w:vAlign w:val="center"/>
          </w:tcPr>
          <w:p>
            <w:pPr>
              <w:spacing w:after="0" w:line="252"/>
              <w:jc w:val="left"/>
            </w:pPr>
            <w:r>
              <w:rPr>
                <w:color w:val="5B6372"/>
                <w:sz w:val="21"/>
                <w:szCs w:val="21"/>
              </w:rPr>
              <w:t xml:space="preserve">Енергийна ефективност</w:t>
            </w:r>
          </w:p>
        </w:tc>
        <w:tc>
          <w:tcPr>
            <w:tcW w:type="dxa" w:w="2300"/>
            <w:tcMar>
              <w:top w:type="dxa" w:w="50"/>
              <w:left w:type="dxa" w:w="110"/>
              <w:bottom w:type="dxa" w:w="50"/>
              <w:right w:type="dxa" w:w="110"/>
            </w:tcMar>
            <w:vAlign w:val="center"/>
          </w:tcPr>
          <w:p>
            <w:pPr>
              <w:spacing w:after="0" w:line="252"/>
              <w:jc w:val="left"/>
            </w:pPr>
            <w:r>
              <w:rPr>
                <w:color w:val="1A1F29"/>
                <w:sz w:val="21"/>
                <w:szCs w:val="21"/>
              </w:rPr>
              <w:t xml:space="preserve">16,6 GFLOPS/W</w:t>
            </w:r>
          </w:p>
        </w:tc>
        <w:tc>
          <w:tcPr>
            <w:tcW w:type="dxa" w:w="2500"/>
            <w:tcMar>
              <w:top w:type="dxa" w:w="50"/>
              <w:left w:type="dxa" w:w="110"/>
              <w:bottom w:type="dxa" w:w="50"/>
              <w:right w:type="dxa" w:w="110"/>
            </w:tcMar>
            <w:vAlign w:val="center"/>
          </w:tcPr>
          <w:p>
            <w:pPr>
              <w:spacing w:after="0" w:line="252"/>
              <w:jc w:val="left"/>
            </w:pPr>
            <w:r>
              <w:rPr>
                <w:color w:val="1A1F29"/>
                <w:sz w:val="21"/>
                <w:szCs w:val="21"/>
              </w:rPr>
              <w:t xml:space="preserve">50,2 GFLOPS/W</w:t>
            </w:r>
          </w:p>
        </w:tc>
        <w:tc>
          <w:tcPr>
            <w:tcW w:type="dxa" w:w="1800"/>
            <w:tcMar>
              <w:top w:type="dxa" w:w="50"/>
              <w:left w:type="dxa" w:w="110"/>
              <w:bottom w:type="dxa" w:w="50"/>
              <w:right w:type="dxa" w:w="110"/>
            </w:tcMar>
            <w:vAlign w:val="center"/>
          </w:tcPr>
          <w:p>
            <w:pPr>
              <w:spacing w:after="0" w:line="252"/>
              <w:jc w:val="left"/>
            </w:pPr>
            <w:r>
              <w:rPr>
                <w:color w:val="1A1F29"/>
                <w:sz w:val="21"/>
                <w:szCs w:val="21"/>
              </w:rPr>
              <w:t xml:space="preserve">RX Vega 56</w:t>
            </w:r>
          </w:p>
        </w:tc>
      </w:tr>
      <w:tr>
        <w:trPr>
          <w:cantSplit/>
        </w:trPr>
        <w:tc>
          <w:tcPr>
            <w:tcW w:type="dxa" w:w="2755"/>
            <w:tcMar>
              <w:top w:type="dxa" w:w="50"/>
              <w:left w:type="dxa" w:w="110"/>
              <w:bottom w:type="dxa" w:w="50"/>
              <w:right w:type="dxa" w:w="110"/>
            </w:tcMar>
            <w:vAlign w:val="center"/>
          </w:tcPr>
          <w:p>
            <w:pPr>
              <w:spacing w:after="0" w:line="252"/>
              <w:jc w:val="left"/>
            </w:pPr>
            <w:r>
              <w:rPr>
                <w:color w:val="5B6372"/>
                <w:sz w:val="21"/>
                <w:szCs w:val="21"/>
              </w:rPr>
              <w:t xml:space="preserve">Поддръжка на API</w:t>
            </w:r>
          </w:p>
        </w:tc>
        <w:tc>
          <w:tcPr>
            <w:tcW w:type="dxa" w:w="2300"/>
            <w:tcMar>
              <w:top w:type="dxa" w:w="50"/>
              <w:left w:type="dxa" w:w="110"/>
              <w:bottom w:type="dxa" w:w="50"/>
              <w:right w:type="dxa" w:w="110"/>
            </w:tcMar>
            <w:vAlign w:val="center"/>
          </w:tcPr>
          <w:p>
            <w:pPr>
              <w:spacing w:after="0" w:line="252"/>
              <w:jc w:val="left"/>
            </w:pPr>
            <w:r>
              <w:rPr>
                <w:color w:val="1A1F29"/>
                <w:sz w:val="21"/>
                <w:szCs w:val="21"/>
              </w:rPr>
              <w:t xml:space="preserve">DirectX 12, ниво 11_0</w:t>
            </w:r>
          </w:p>
        </w:tc>
        <w:tc>
          <w:tcPr>
            <w:tcW w:type="dxa" w:w="2500"/>
            <w:tcMar>
              <w:top w:type="dxa" w:w="50"/>
              <w:left w:type="dxa" w:w="110"/>
              <w:bottom w:type="dxa" w:w="50"/>
              <w:right w:type="dxa" w:w="110"/>
            </w:tcMar>
            <w:vAlign w:val="center"/>
          </w:tcPr>
          <w:p>
            <w:pPr>
              <w:spacing w:after="0" w:line="252"/>
              <w:jc w:val="left"/>
            </w:pPr>
            <w:r>
              <w:rPr>
                <w:color w:val="1A1F29"/>
                <w:sz w:val="21"/>
                <w:szCs w:val="21"/>
              </w:rPr>
              <w:t xml:space="preserve">DirectX 12, ниво 12_1</w:t>
            </w:r>
          </w:p>
        </w:tc>
        <w:tc>
          <w:tcPr>
            <w:tcW w:type="dxa" w:w="1800"/>
            <w:tcMar>
              <w:top w:type="dxa" w:w="50"/>
              <w:left w:type="dxa" w:w="110"/>
              <w:bottom w:type="dxa" w:w="50"/>
              <w:right w:type="dxa" w:w="110"/>
            </w:tcMar>
            <w:vAlign w:val="center"/>
          </w:tcPr>
          <w:p>
            <w:pPr>
              <w:spacing w:after="0" w:line="252"/>
              <w:jc w:val="left"/>
            </w:pPr>
            <w:r>
              <w:rPr>
                <w:color w:val="1A1F29"/>
                <w:sz w:val="21"/>
                <w:szCs w:val="21"/>
              </w:rPr>
              <w:t xml:space="preserve">RX Vega 56</w:t>
            </w:r>
          </w:p>
        </w:tc>
      </w:tr>
      <w:tr>
        <w:trPr>
          <w:cantSplit/>
        </w:trPr>
        <w:tc>
          <w:tcPr>
            <w:tcW w:type="dxa" w:w="2755"/>
            <w:tcMar>
              <w:top w:type="dxa" w:w="50"/>
              <w:left w:type="dxa" w:w="110"/>
              <w:bottom w:type="dxa" w:w="50"/>
              <w:right w:type="dxa" w:w="110"/>
            </w:tcMar>
            <w:vAlign w:val="center"/>
          </w:tcPr>
          <w:p>
            <w:pPr>
              <w:spacing w:after="0" w:line="252"/>
              <w:jc w:val="left"/>
            </w:pPr>
            <w:r>
              <w:rPr>
                <w:color w:val="5B6372"/>
                <w:sz w:val="21"/>
                <w:szCs w:val="21"/>
              </w:rPr>
              <w:t xml:space="preserve">Резултати в тестове</w:t>
            </w:r>
          </w:p>
        </w:tc>
        <w:tc>
          <w:tcPr>
            <w:tcW w:type="dxa" w:w="2300"/>
            <w:tcMar>
              <w:top w:type="dxa" w:w="50"/>
              <w:left w:type="dxa" w:w="110"/>
              <w:bottom w:type="dxa" w:w="50"/>
              <w:right w:type="dxa" w:w="110"/>
            </w:tcMar>
            <w:vAlign w:val="center"/>
          </w:tcPr>
          <w:p>
            <w:pPr>
              <w:spacing w:after="0" w:line="252"/>
              <w:jc w:val="left"/>
            </w:pPr>
            <w:r>
              <w:rPr>
                <w:color w:val="1A1F29"/>
                <w:sz w:val="21"/>
                <w:szCs w:val="21"/>
              </w:rPr>
              <w:t xml:space="preserve">7972 / 2595 точки</w:t>
            </w:r>
          </w:p>
        </w:tc>
        <w:tc>
          <w:tcPr>
            <w:tcW w:type="dxa" w:w="2500"/>
            <w:tcMar>
              <w:top w:type="dxa" w:w="50"/>
              <w:left w:type="dxa" w:w="110"/>
              <w:bottom w:type="dxa" w:w="50"/>
              <w:right w:type="dxa" w:w="110"/>
            </w:tcMar>
            <w:vAlign w:val="center"/>
          </w:tcPr>
          <w:p>
            <w:pPr>
              <w:spacing w:after="0" w:line="252"/>
              <w:jc w:val="left"/>
            </w:pPr>
            <w:r>
              <w:rPr>
                <w:color w:val="1A1F29"/>
                <w:sz w:val="21"/>
                <w:szCs w:val="21"/>
              </w:rPr>
              <w:t xml:space="preserve">12 913 / 6344 точки</w:t>
            </w:r>
          </w:p>
        </w:tc>
        <w:tc>
          <w:tcPr>
            <w:tcW w:type="dxa" w:w="1800"/>
            <w:tcMar>
              <w:top w:type="dxa" w:w="50"/>
              <w:left w:type="dxa" w:w="110"/>
              <w:bottom w:type="dxa" w:w="50"/>
              <w:right w:type="dxa" w:w="110"/>
            </w:tcMar>
            <w:vAlign w:val="center"/>
          </w:tcPr>
          <w:p>
            <w:pPr>
              <w:spacing w:after="0" w:line="252"/>
              <w:jc w:val="left"/>
            </w:pPr>
            <w:r>
              <w:rPr>
                <w:color w:val="1A1F29"/>
                <w:sz w:val="21"/>
                <w:szCs w:val="21"/>
              </w:rPr>
              <w:t xml:space="preserve">RX Vega 56</w:t>
            </w:r>
          </w:p>
        </w:tc>
      </w:tr>
      <w:tr>
        <w:trPr>
          <w:cantSplit/>
        </w:trPr>
        <w:tc>
          <w:tcPr>
            <w:tcW w:type="dxa" w:w="2755"/>
            <w:tcMar>
              <w:top w:type="dxa" w:w="50"/>
              <w:left w:type="dxa" w:w="110"/>
              <w:bottom w:type="dxa" w:w="50"/>
              <w:right w:type="dxa" w:w="110"/>
            </w:tcMar>
            <w:vAlign w:val="center"/>
          </w:tcPr>
          <w:p>
            <w:pPr>
              <w:spacing w:after="0" w:line="252"/>
              <w:jc w:val="left"/>
            </w:pPr>
            <w:r>
              <w:rPr>
                <w:color w:val="5B6372"/>
                <w:sz w:val="21"/>
                <w:szCs w:val="21"/>
              </w:rPr>
              <w:t xml:space="preserve">Цена при излизане</w:t>
            </w:r>
          </w:p>
        </w:tc>
        <w:tc>
          <w:tcPr>
            <w:tcW w:type="dxa" w:w="2300"/>
            <w:tcMar>
              <w:top w:type="dxa" w:w="50"/>
              <w:left w:type="dxa" w:w="110"/>
              <w:bottom w:type="dxa" w:w="50"/>
              <w:right w:type="dxa" w:w="110"/>
            </w:tcMar>
            <w:vAlign w:val="center"/>
          </w:tcPr>
          <w:p>
            <w:pPr>
              <w:spacing w:after="0" w:line="252"/>
              <w:jc w:val="left"/>
            </w:pPr>
            <w:r>
              <w:rPr>
                <w:color w:val="1A1F29"/>
                <w:sz w:val="21"/>
                <w:szCs w:val="21"/>
              </w:rPr>
              <w:t xml:space="preserve">649 $</w:t>
            </w:r>
          </w:p>
        </w:tc>
        <w:tc>
          <w:tcPr>
            <w:tcW w:type="dxa" w:w="2500"/>
            <w:tcMar>
              <w:top w:type="dxa" w:w="50"/>
              <w:left w:type="dxa" w:w="110"/>
              <w:bottom w:type="dxa" w:w="50"/>
              <w:right w:type="dxa" w:w="110"/>
            </w:tcMar>
            <w:vAlign w:val="center"/>
          </w:tcPr>
          <w:p>
            <w:pPr>
              <w:spacing w:after="0" w:line="252"/>
              <w:jc w:val="left"/>
            </w:pPr>
            <w:r>
              <w:rPr>
                <w:color w:val="1A1F29"/>
                <w:sz w:val="21"/>
                <w:szCs w:val="21"/>
              </w:rPr>
              <w:t xml:space="preserve">399 $</w:t>
            </w:r>
          </w:p>
        </w:tc>
        <w:tc>
          <w:tcPr>
            <w:tcW w:type="dxa" w:w="1800"/>
            <w:tcMar>
              <w:top w:type="dxa" w:w="50"/>
              <w:left w:type="dxa" w:w="110"/>
              <w:bottom w:type="dxa" w:w="50"/>
              <w:right w:type="dxa" w:w="110"/>
            </w:tcMar>
            <w:vAlign w:val="center"/>
          </w:tcPr>
          <w:p>
            <w:pPr>
              <w:spacing w:after="0" w:line="252"/>
              <w:jc w:val="left"/>
            </w:pPr>
            <w:r>
              <w:rPr>
                <w:color w:val="1A1F29"/>
                <w:sz w:val="21"/>
                <w:szCs w:val="21"/>
              </w:rPr>
              <w:t xml:space="preserve">RX Vega 56</w:t>
            </w:r>
          </w:p>
        </w:tc>
      </w:tr>
      <w:tr>
        <w:trPr>
          <w:cantSplit/>
        </w:trPr>
        <w:tc>
          <w:tcPr>
            <w:tcW w:type="dxa" w:w="2755"/>
            <w:tcMar>
              <w:top w:type="dxa" w:w="50"/>
              <w:left w:type="dxa" w:w="110"/>
              <w:bottom w:type="dxa" w:w="50"/>
              <w:right w:type="dxa" w:w="110"/>
            </w:tcMar>
            <w:vAlign w:val="center"/>
          </w:tcPr>
          <w:p>
            <w:pPr>
              <w:spacing w:after="0" w:line="252"/>
              <w:jc w:val="left"/>
            </w:pPr>
            <w:r>
              <w:rPr>
                <w:color w:val="5B6372"/>
                <w:sz w:val="21"/>
                <w:szCs w:val="21"/>
              </w:rPr>
              <w:t xml:space="preserve">Поддръжка през 2026 г.</w:t>
            </w:r>
          </w:p>
        </w:tc>
        <w:tc>
          <w:tcPr>
            <w:tcW w:type="dxa" w:w="2300"/>
            <w:tcMar>
              <w:top w:type="dxa" w:w="50"/>
              <w:left w:type="dxa" w:w="110"/>
              <w:bottom w:type="dxa" w:w="50"/>
              <w:right w:type="dxa" w:w="110"/>
            </w:tcMar>
            <w:vAlign w:val="center"/>
          </w:tcPr>
          <w:p>
            <w:pPr>
              <w:spacing w:after="0" w:line="252"/>
              <w:jc w:val="left"/>
            </w:pPr>
            <w:r>
              <w:rPr>
                <w:color w:val="1A1F29"/>
                <w:sz w:val="21"/>
                <w:szCs w:val="21"/>
              </w:rPr>
              <w:t xml:space="preserve">няма</w:t>
            </w:r>
          </w:p>
        </w:tc>
        <w:tc>
          <w:tcPr>
            <w:tcW w:type="dxa" w:w="2500"/>
            <w:tcMar>
              <w:top w:type="dxa" w:w="50"/>
              <w:left w:type="dxa" w:w="110"/>
              <w:bottom w:type="dxa" w:w="50"/>
              <w:right w:type="dxa" w:w="110"/>
            </w:tcMar>
            <w:vAlign w:val="center"/>
          </w:tcPr>
          <w:p>
            <w:pPr>
              <w:spacing w:after="0" w:line="252"/>
              <w:jc w:val="left"/>
            </w:pPr>
            <w:r>
              <w:rPr>
                <w:color w:val="1A1F29"/>
                <w:sz w:val="21"/>
                <w:szCs w:val="21"/>
              </w:rPr>
              <w:t xml:space="preserve">legacy, с поправки</w:t>
            </w:r>
          </w:p>
        </w:tc>
        <w:tc>
          <w:tcPr>
            <w:tcW w:type="dxa" w:w="1800"/>
            <w:tcMar>
              <w:top w:type="dxa" w:w="50"/>
              <w:left w:type="dxa" w:w="110"/>
              <w:bottom w:type="dxa" w:w="50"/>
              <w:right w:type="dxa" w:w="110"/>
            </w:tcMar>
            <w:vAlign w:val="center"/>
          </w:tcPr>
          <w:p>
            <w:pPr>
              <w:spacing w:after="0" w:line="252"/>
              <w:jc w:val="left"/>
            </w:pPr>
            <w:r>
              <w:rPr>
                <w:color w:val="1A1F29"/>
                <w:sz w:val="21"/>
                <w:szCs w:val="21"/>
              </w:rPr>
              <w:t xml:space="preserve">RX Vega 56</w:t>
            </w:r>
          </w:p>
        </w:tc>
      </w:tr>
    </w:tbl>
    <w:p>
      <w:pPr>
        <w:spacing w:before="200"/>
        <w:ind w:firstLine="709"/>
        <w:jc w:val="both"/>
      </w:pPr>
      <w:r>
        <w:t xml:space="preserve">От девет показателя Radeon RX Vega 56 има предимство в осем. GeForce GTX 780 печели само по ефективността, с която използва теоретичната си мощ в по-старите API, но това не компенсира 2,5 пъти по-ниската изчислителна мощ и почти три пъти по-малкия обем памет.</w:t>
      </w:r>
    </w:p>
    <w:p>
      <w:pPr>
        <w:ind w:firstLine="709"/>
        <w:jc w:val="both"/>
      </w:pPr>
      <w:r>
        <w:t xml:space="preserve">Основните изводи от сравнението са следните:</w:t>
      </w:r>
    </w:p>
    <w:p>
      <w:pPr>
        <w:pStyle w:val="ListParagraph"/>
        <w:numPr>
          <w:ilvl w:val="0"/>
          <w:numId w:val="2"/>
        </w:numPr>
        <w:jc w:val="both"/>
      </w:pPr>
      <w:r>
        <w:rPr>
          <w:b/>
          <w:bCs/>
        </w:rPr>
        <w:t xml:space="preserve">Технологичният процес е решаващ.</w:t>
      </w:r>
      <w:r>
        <w:t xml:space="preserve"> Преходът от 28 nm към 14 nm FinFET позволява двойно по-плътен чип, по-високи честоти и около три пъти повече изчисления на ват.</w:t>
      </w:r>
    </w:p>
    <w:p>
      <w:pPr>
        <w:pStyle w:val="ListParagraph"/>
        <w:numPr>
          <w:ilvl w:val="0"/>
          <w:numId w:val="2"/>
        </w:numPr>
        <w:jc w:val="both"/>
      </w:pPr>
      <w:r>
        <w:rPr>
          <w:b/>
          <w:bCs/>
        </w:rPr>
        <w:t xml:space="preserve">Теоретичните стойности не се превръщат директно в производителност.</w:t>
      </w:r>
      <w:r>
        <w:t xml:space="preserve"> На хартия разликата е 2,5 пъти, а в тестовете е от 1,26 до 2,44 пъти. Решаващо е какво API използва приложението.</w:t>
      </w:r>
    </w:p>
    <w:p>
      <w:pPr>
        <w:pStyle w:val="ListParagraph"/>
        <w:numPr>
          <w:ilvl w:val="0"/>
          <w:numId w:val="2"/>
        </w:numPr>
        <w:jc w:val="both"/>
      </w:pPr>
      <w:r>
        <w:rPr>
          <w:b/>
          <w:bCs/>
        </w:rPr>
        <w:t xml:space="preserve">Паметта остарява първа.</w:t>
      </w:r>
      <w:r>
        <w:t xml:space="preserve"> Обемът от 3 GB е основното ограничение на GTX 780 днес, докато 8 GB HBM2 удължават полезния живот на Vega 56.</w:t>
      </w:r>
    </w:p>
    <w:p>
      <w:pPr>
        <w:pStyle w:val="ListParagraph"/>
        <w:numPr>
          <w:ilvl w:val="0"/>
          <w:numId w:val="2"/>
        </w:numPr>
        <w:jc w:val="both"/>
      </w:pPr>
      <w:r>
        <w:rPr>
          <w:b/>
          <w:bCs/>
        </w:rPr>
        <w:t xml:space="preserve">Архитектурата трябва да се отчита при програмиране.</w:t>
      </w:r>
      <w:r>
        <w:t xml:space="preserve"> Ширината на групата нишки (32 срещу 64), поддръжката на FP16 и на async compute влияят пряко на това как се пише ефективен код за всяка от картите.</w:t>
      </w:r>
    </w:p>
    <w:p>
      <w:pPr>
        <w:pStyle w:val="ListParagraph"/>
        <w:numPr>
          <w:ilvl w:val="0"/>
          <w:numId w:val="2"/>
        </w:numPr>
        <w:jc w:val="both"/>
      </w:pPr>
      <w:r>
        <w:rPr>
          <w:b/>
          <w:bCs/>
        </w:rPr>
        <w:t xml:space="preserve">Към 2026 г. и двете карти са в края на поддръжката си.</w:t>
      </w:r>
      <w:r>
        <w:t xml:space="preserve"> За нова система не се препоръчва нито една, но Vega 56 все още може да се използва за по-стари игри при 1080p и за учебни цели с OpenCL и Vulkan, а GTX 780 – главно в ретро системи и за поддръжка на по-стар CUDA код.</w:t>
      </w:r>
    </w:p>
    <w:p>
      <w:pPr>
        <w:spacing w:before="120"/>
        <w:ind w:firstLine="709"/>
        <w:jc w:val="both"/>
      </w:pPr>
      <w:r>
        <w:t xml:space="preserve">Общият извод е, че Radeon RX Vega 56 превъзхожда GeForce GTX 780 по почти всички показатели при по-ниска цена. Сравнението показва колко се променят графичните процесори само за четири години и защо при оценката им трябва да се гледа не само броят на ядрата и честотата, а и технологията, паметта и програмният модел.</w:t>
      </w:r>
    </w:p>
    <w:p>
      <w:pPr>
        <w:pStyle w:val="Heading1"/>
      </w:pPr>
      <w:r>
        <w:t xml:space="preserve">Речник на използваните термини</w:t>
      </w:r>
    </w:p>
    <w:tbl>
      <w:tblPr>
        <w:tblW w:type="dxa" w:w="9355"/>
        <w:tblBorders>
          <w:top w:val="single" w:color="BFC4CC" w:sz="4"/>
          <w:left w:val="none" w:color="FFFFFF" w:sz="0"/>
          <w:bottom w:val="single" w:color="BFC4CC" w:sz="4"/>
          <w:right w:val="none" w:color="FFFFFF" w:sz="0"/>
          <w:insideH w:val="single" w:color="BFC4CC" w:sz="4"/>
          <w:insideV w:val="none" w:color="FFFFFF" w:sz="0"/>
        </w:tblBorders>
      </w:tblPr>
      <w:tblGrid>
        <w:gridCol w:w="2655"/>
        <w:gridCol w:w="6700"/>
      </w:tblGrid>
      <w:tr>
        <w:trPr>
          <w:tblHeader/>
        </w:trPr>
        <w:tc>
          <w:tcPr>
            <w:tcW w:type="dxa" w:w="2655"/>
            <w:shd w:fill="E9EBEF" w:color="auto" w:val="clear"/>
            <w:tcMar>
              <w:top w:type="dxa" w:w="50"/>
              <w:left w:type="dxa" w:w="110"/>
              <w:bottom w:type="dxa" w:w="50"/>
              <w:right w:type="dxa" w:w="110"/>
            </w:tcMar>
            <w:vAlign w:val="center"/>
          </w:tcPr>
          <w:p>
            <w:pPr>
              <w:spacing w:after="0" w:line="252"/>
              <w:jc w:val="left"/>
            </w:pPr>
            <w:r>
              <w:rPr>
                <w:b/>
                <w:bCs/>
                <w:color w:val="1A1F29"/>
                <w:sz w:val="21"/>
                <w:szCs w:val="21"/>
              </w:rPr>
              <w:t xml:space="preserve">Термин</w:t>
            </w:r>
          </w:p>
        </w:tc>
        <w:tc>
          <w:tcPr>
            <w:tcW w:type="dxa" w:w="6700"/>
            <w:shd w:fill="E9EBEF" w:color="auto" w:val="clear"/>
            <w:tcMar>
              <w:top w:type="dxa" w:w="50"/>
              <w:left w:type="dxa" w:w="110"/>
              <w:bottom w:type="dxa" w:w="50"/>
              <w:right w:type="dxa" w:w="110"/>
            </w:tcMar>
            <w:vAlign w:val="center"/>
          </w:tcPr>
          <w:p>
            <w:pPr>
              <w:spacing w:after="0" w:line="252"/>
              <w:jc w:val="left"/>
            </w:pPr>
            <w:r>
              <w:rPr>
                <w:b/>
                <w:bCs/>
                <w:color w:val="1A1F29"/>
                <w:sz w:val="21"/>
                <w:szCs w:val="21"/>
              </w:rPr>
              <w:t xml:space="preserve">Обяснение</w:t>
            </w:r>
          </w:p>
        </w:tc>
      </w:tr>
      <w:tr>
        <w:trPr>
          <w:cantSplit/>
        </w:trPr>
        <w:tc>
          <w:tcPr>
            <w:tcW w:type="dxa" w:w="2655"/>
            <w:tcMar>
              <w:top w:type="dxa" w:w="50"/>
              <w:left w:type="dxa" w:w="110"/>
              <w:bottom w:type="dxa" w:w="50"/>
              <w:right w:type="dxa" w:w="110"/>
            </w:tcMar>
            <w:vAlign w:val="center"/>
          </w:tcPr>
          <w:p>
            <w:pPr>
              <w:spacing w:after="0" w:line="252"/>
              <w:jc w:val="left"/>
            </w:pPr>
            <w:r>
              <w:rPr>
                <w:color w:val="5B6372"/>
                <w:sz w:val="21"/>
                <w:szCs w:val="21"/>
              </w:rPr>
              <w:t xml:space="preserve">API</w:t>
            </w:r>
          </w:p>
        </w:tc>
        <w:tc>
          <w:tcPr>
            <w:tcW w:type="dxa" w:w="6700"/>
            <w:tcMar>
              <w:top w:type="dxa" w:w="50"/>
              <w:left w:type="dxa" w:w="110"/>
              <w:bottom w:type="dxa" w:w="50"/>
              <w:right w:type="dxa" w:w="110"/>
            </w:tcMar>
            <w:vAlign w:val="center"/>
          </w:tcPr>
          <w:p>
            <w:pPr>
              <w:spacing w:after="0" w:line="252"/>
              <w:jc w:val="left"/>
            </w:pPr>
            <w:r>
              <w:rPr>
                <w:color w:val="1A1F29"/>
                <w:sz w:val="21"/>
                <w:szCs w:val="21"/>
              </w:rPr>
              <w:t xml:space="preserve">Програмен интерфейс, чрез който приложението използва графичния процесор (DirectX, Vulkan, OpenGL, OpenCL).</w:t>
            </w:r>
          </w:p>
        </w:tc>
      </w:tr>
      <w:tr>
        <w:trPr>
          <w:cantSplit/>
        </w:trPr>
        <w:tc>
          <w:tcPr>
            <w:tcW w:type="dxa" w:w="2655"/>
            <w:tcMar>
              <w:top w:type="dxa" w:w="50"/>
              <w:left w:type="dxa" w:w="110"/>
              <w:bottom w:type="dxa" w:w="50"/>
              <w:right w:type="dxa" w:w="110"/>
            </w:tcMar>
            <w:vAlign w:val="center"/>
          </w:tcPr>
          <w:p>
            <w:pPr>
              <w:spacing w:after="0" w:line="252"/>
              <w:jc w:val="left"/>
            </w:pPr>
            <w:r>
              <w:rPr>
                <w:color w:val="5B6372"/>
                <w:sz w:val="21"/>
                <w:szCs w:val="21"/>
              </w:rPr>
              <w:t xml:space="preserve">Async compute</w:t>
            </w:r>
          </w:p>
        </w:tc>
        <w:tc>
          <w:tcPr>
            <w:tcW w:type="dxa" w:w="6700"/>
            <w:tcMar>
              <w:top w:type="dxa" w:w="50"/>
              <w:left w:type="dxa" w:w="110"/>
              <w:bottom w:type="dxa" w:w="50"/>
              <w:right w:type="dxa" w:w="110"/>
            </w:tcMar>
            <w:vAlign w:val="center"/>
          </w:tcPr>
          <w:p>
            <w:pPr>
              <w:spacing w:after="0" w:line="252"/>
              <w:jc w:val="left"/>
            </w:pPr>
            <w:r>
              <w:rPr>
                <w:color w:val="1A1F29"/>
                <w:sz w:val="21"/>
                <w:szCs w:val="21"/>
              </w:rPr>
              <w:t xml:space="preserve">Едновременно изпълнение на графични и изчислителни задачи на графичния процесор.</w:t>
            </w:r>
          </w:p>
        </w:tc>
      </w:tr>
      <w:tr>
        <w:trPr>
          <w:cantSplit/>
        </w:trPr>
        <w:tc>
          <w:tcPr>
            <w:tcW w:type="dxa" w:w="2655"/>
            <w:tcMar>
              <w:top w:type="dxa" w:w="50"/>
              <w:left w:type="dxa" w:w="110"/>
              <w:bottom w:type="dxa" w:w="50"/>
              <w:right w:type="dxa" w:w="110"/>
            </w:tcMar>
            <w:vAlign w:val="center"/>
          </w:tcPr>
          <w:p>
            <w:pPr>
              <w:spacing w:after="0" w:line="252"/>
              <w:jc w:val="left"/>
            </w:pPr>
            <w:r>
              <w:rPr>
                <w:color w:val="5B6372"/>
                <w:sz w:val="21"/>
                <w:szCs w:val="21"/>
              </w:rPr>
              <w:t xml:space="preserve">CUDA ядро / поточен процесор</w:t>
            </w:r>
          </w:p>
        </w:tc>
        <w:tc>
          <w:tcPr>
            <w:tcW w:type="dxa" w:w="6700"/>
            <w:tcMar>
              <w:top w:type="dxa" w:w="50"/>
              <w:left w:type="dxa" w:w="110"/>
              <w:bottom w:type="dxa" w:w="50"/>
              <w:right w:type="dxa" w:w="110"/>
            </w:tcMar>
            <w:vAlign w:val="center"/>
          </w:tcPr>
          <w:p>
            <w:pPr>
              <w:spacing w:after="0" w:line="252"/>
              <w:jc w:val="left"/>
            </w:pPr>
            <w:r>
              <w:rPr>
                <w:color w:val="1A1F29"/>
                <w:sz w:val="21"/>
                <w:szCs w:val="21"/>
              </w:rPr>
              <w:t xml:space="preserve">Най-малкият изчислителен елемент на GPU, който изпълнява аритметичните операции (наименование съответно при NVIDIA и AMD).</w:t>
            </w:r>
          </w:p>
        </w:tc>
      </w:tr>
      <w:tr>
        <w:trPr>
          <w:cantSplit/>
        </w:trPr>
        <w:tc>
          <w:tcPr>
            <w:tcW w:type="dxa" w:w="2655"/>
            <w:tcMar>
              <w:top w:type="dxa" w:w="50"/>
              <w:left w:type="dxa" w:w="110"/>
              <w:bottom w:type="dxa" w:w="50"/>
              <w:right w:type="dxa" w:w="110"/>
            </w:tcMar>
            <w:vAlign w:val="center"/>
          </w:tcPr>
          <w:p>
            <w:pPr>
              <w:spacing w:after="0" w:line="252"/>
              <w:jc w:val="left"/>
            </w:pPr>
            <w:r>
              <w:rPr>
                <w:color w:val="5B6372"/>
                <w:sz w:val="21"/>
                <w:szCs w:val="21"/>
              </w:rPr>
              <w:t xml:space="preserve">FinFET</w:t>
            </w:r>
          </w:p>
        </w:tc>
        <w:tc>
          <w:tcPr>
            <w:tcW w:type="dxa" w:w="6700"/>
            <w:tcMar>
              <w:top w:type="dxa" w:w="50"/>
              <w:left w:type="dxa" w:w="110"/>
              <w:bottom w:type="dxa" w:w="50"/>
              <w:right w:type="dxa" w:w="110"/>
            </w:tcMar>
            <w:vAlign w:val="center"/>
          </w:tcPr>
          <w:p>
            <w:pPr>
              <w:spacing w:after="0" w:line="252"/>
              <w:jc w:val="left"/>
            </w:pPr>
            <w:r>
              <w:rPr>
                <w:color w:val="1A1F29"/>
                <w:sz w:val="21"/>
                <w:szCs w:val="21"/>
              </w:rPr>
              <w:t xml:space="preserve">Транзистор с триизмерен канал („перка“), обхванат от затвора от три страни.</w:t>
            </w:r>
          </w:p>
        </w:tc>
      </w:tr>
      <w:tr>
        <w:trPr>
          <w:cantSplit/>
        </w:trPr>
        <w:tc>
          <w:tcPr>
            <w:tcW w:type="dxa" w:w="2655"/>
            <w:tcMar>
              <w:top w:type="dxa" w:w="50"/>
              <w:left w:type="dxa" w:w="110"/>
              <w:bottom w:type="dxa" w:w="50"/>
              <w:right w:type="dxa" w:w="110"/>
            </w:tcMar>
            <w:vAlign w:val="center"/>
          </w:tcPr>
          <w:p>
            <w:pPr>
              <w:spacing w:after="0" w:line="252"/>
              <w:jc w:val="left"/>
            </w:pPr>
            <w:r>
              <w:rPr>
                <w:color w:val="5B6372"/>
                <w:sz w:val="21"/>
                <w:szCs w:val="21"/>
              </w:rPr>
              <w:t xml:space="preserve">FLOPS</w:t>
            </w:r>
          </w:p>
        </w:tc>
        <w:tc>
          <w:tcPr>
            <w:tcW w:type="dxa" w:w="6700"/>
            <w:tcMar>
              <w:top w:type="dxa" w:w="50"/>
              <w:left w:type="dxa" w:w="110"/>
              <w:bottom w:type="dxa" w:w="50"/>
              <w:right w:type="dxa" w:w="110"/>
            </w:tcMar>
            <w:vAlign w:val="center"/>
          </w:tcPr>
          <w:p>
            <w:pPr>
              <w:spacing w:after="0" w:line="252"/>
              <w:jc w:val="left"/>
            </w:pPr>
            <w:r>
              <w:rPr>
                <w:color w:val="1A1F29"/>
                <w:sz w:val="21"/>
                <w:szCs w:val="21"/>
              </w:rPr>
              <w:t xml:space="preserve">Брой операции с плаваща запетая в секунда (GFLOPS – милиард, TFLOPS – трилион).</w:t>
            </w:r>
          </w:p>
        </w:tc>
      </w:tr>
      <w:tr>
        <w:trPr>
          <w:cantSplit/>
        </w:trPr>
        <w:tc>
          <w:tcPr>
            <w:tcW w:type="dxa" w:w="2655"/>
            <w:tcMar>
              <w:top w:type="dxa" w:w="50"/>
              <w:left w:type="dxa" w:w="110"/>
              <w:bottom w:type="dxa" w:w="50"/>
              <w:right w:type="dxa" w:w="110"/>
            </w:tcMar>
            <w:vAlign w:val="center"/>
          </w:tcPr>
          <w:p>
            <w:pPr>
              <w:spacing w:after="0" w:line="252"/>
              <w:jc w:val="left"/>
            </w:pPr>
            <w:r>
              <w:rPr>
                <w:color w:val="5B6372"/>
                <w:sz w:val="21"/>
                <w:szCs w:val="21"/>
              </w:rPr>
              <w:t xml:space="preserve">FMA</w:t>
            </w:r>
          </w:p>
        </w:tc>
        <w:tc>
          <w:tcPr>
            <w:tcW w:type="dxa" w:w="6700"/>
            <w:tcMar>
              <w:top w:type="dxa" w:w="50"/>
              <w:left w:type="dxa" w:w="110"/>
              <w:bottom w:type="dxa" w:w="50"/>
              <w:right w:type="dxa" w:w="110"/>
            </w:tcMar>
            <w:vAlign w:val="center"/>
          </w:tcPr>
          <w:p>
            <w:pPr>
              <w:spacing w:after="0" w:line="252"/>
              <w:jc w:val="left"/>
            </w:pPr>
            <w:r>
              <w:rPr>
                <w:color w:val="1A1F29"/>
                <w:sz w:val="21"/>
                <w:szCs w:val="21"/>
              </w:rPr>
              <w:t xml:space="preserve">Fused multiply-add – инструкция, която изпълнява умножение и събиране наведнъж.</w:t>
            </w:r>
          </w:p>
        </w:tc>
      </w:tr>
      <w:tr>
        <w:trPr>
          <w:cantSplit/>
        </w:trPr>
        <w:tc>
          <w:tcPr>
            <w:tcW w:type="dxa" w:w="2655"/>
            <w:tcMar>
              <w:top w:type="dxa" w:w="50"/>
              <w:left w:type="dxa" w:w="110"/>
              <w:bottom w:type="dxa" w:w="50"/>
              <w:right w:type="dxa" w:w="110"/>
            </w:tcMar>
            <w:vAlign w:val="center"/>
          </w:tcPr>
          <w:p>
            <w:pPr>
              <w:spacing w:after="0" w:line="252"/>
              <w:jc w:val="left"/>
            </w:pPr>
            <w:r>
              <w:rPr>
                <w:color w:val="5B6372"/>
                <w:sz w:val="21"/>
                <w:szCs w:val="21"/>
              </w:rPr>
              <w:t xml:space="preserve">FP16 / FP32 / FP64</w:t>
            </w:r>
          </w:p>
        </w:tc>
        <w:tc>
          <w:tcPr>
            <w:tcW w:type="dxa" w:w="6700"/>
            <w:tcMar>
              <w:top w:type="dxa" w:w="50"/>
              <w:left w:type="dxa" w:w="110"/>
              <w:bottom w:type="dxa" w:w="50"/>
              <w:right w:type="dxa" w:w="110"/>
            </w:tcMar>
            <w:vAlign w:val="center"/>
          </w:tcPr>
          <w:p>
            <w:pPr>
              <w:spacing w:after="0" w:line="252"/>
              <w:jc w:val="left"/>
            </w:pPr>
            <w:r>
              <w:rPr>
                <w:color w:val="1A1F29"/>
                <w:sz w:val="21"/>
                <w:szCs w:val="21"/>
              </w:rPr>
              <w:t xml:space="preserve">Числа с плаваща запетая с половинна, единична и двойна точност.</w:t>
            </w:r>
          </w:p>
        </w:tc>
      </w:tr>
      <w:tr>
        <w:trPr>
          <w:cantSplit/>
        </w:trPr>
        <w:tc>
          <w:tcPr>
            <w:tcW w:type="dxa" w:w="2655"/>
            <w:tcMar>
              <w:top w:type="dxa" w:w="50"/>
              <w:left w:type="dxa" w:w="110"/>
              <w:bottom w:type="dxa" w:w="50"/>
              <w:right w:type="dxa" w:w="110"/>
            </w:tcMar>
            <w:vAlign w:val="center"/>
          </w:tcPr>
          <w:p>
            <w:pPr>
              <w:spacing w:after="0" w:line="252"/>
              <w:jc w:val="left"/>
            </w:pPr>
            <w:r>
              <w:rPr>
                <w:color w:val="5B6372"/>
                <w:sz w:val="21"/>
                <w:szCs w:val="21"/>
              </w:rPr>
              <w:t xml:space="preserve">GDDR5</w:t>
            </w:r>
          </w:p>
        </w:tc>
        <w:tc>
          <w:tcPr>
            <w:tcW w:type="dxa" w:w="6700"/>
            <w:tcMar>
              <w:top w:type="dxa" w:w="50"/>
              <w:left w:type="dxa" w:w="110"/>
              <w:bottom w:type="dxa" w:w="50"/>
              <w:right w:type="dxa" w:w="110"/>
            </w:tcMar>
            <w:vAlign w:val="center"/>
          </w:tcPr>
          <w:p>
            <w:pPr>
              <w:spacing w:after="0" w:line="252"/>
              <w:jc w:val="left"/>
            </w:pPr>
            <w:r>
              <w:rPr>
                <w:color w:val="1A1F29"/>
                <w:sz w:val="21"/>
                <w:szCs w:val="21"/>
              </w:rPr>
              <w:t xml:space="preserve">Тип графична памет, съставена от отделни чипове на платката.</w:t>
            </w:r>
          </w:p>
        </w:tc>
      </w:tr>
      <w:tr>
        <w:trPr>
          <w:cantSplit/>
        </w:trPr>
        <w:tc>
          <w:tcPr>
            <w:tcW w:type="dxa" w:w="2655"/>
            <w:tcMar>
              <w:top w:type="dxa" w:w="50"/>
              <w:left w:type="dxa" w:w="110"/>
              <w:bottom w:type="dxa" w:w="50"/>
              <w:right w:type="dxa" w:w="110"/>
            </w:tcMar>
            <w:vAlign w:val="center"/>
          </w:tcPr>
          <w:p>
            <w:pPr>
              <w:spacing w:after="0" w:line="252"/>
              <w:jc w:val="left"/>
            </w:pPr>
            <w:r>
              <w:rPr>
                <w:color w:val="5B6372"/>
                <w:sz w:val="21"/>
                <w:szCs w:val="21"/>
              </w:rPr>
              <w:t xml:space="preserve">HBM2</w:t>
            </w:r>
          </w:p>
        </w:tc>
        <w:tc>
          <w:tcPr>
            <w:tcW w:type="dxa" w:w="6700"/>
            <w:tcMar>
              <w:top w:type="dxa" w:w="50"/>
              <w:left w:type="dxa" w:w="110"/>
              <w:bottom w:type="dxa" w:w="50"/>
              <w:right w:type="dxa" w:w="110"/>
            </w:tcMar>
            <w:vAlign w:val="center"/>
          </w:tcPr>
          <w:p>
            <w:pPr>
              <w:spacing w:after="0" w:line="252"/>
              <w:jc w:val="left"/>
            </w:pPr>
            <w:r>
              <w:rPr>
                <w:color w:val="1A1F29"/>
                <w:sz w:val="21"/>
                <w:szCs w:val="21"/>
              </w:rPr>
              <w:t xml:space="preserve">Памет с висока пропускателна способност, организирана в стекове до графичния процесор.</w:t>
            </w:r>
          </w:p>
        </w:tc>
      </w:tr>
      <w:tr>
        <w:trPr>
          <w:cantSplit/>
        </w:trPr>
        <w:tc>
          <w:tcPr>
            <w:tcW w:type="dxa" w:w="2655"/>
            <w:tcMar>
              <w:top w:type="dxa" w:w="50"/>
              <w:left w:type="dxa" w:w="110"/>
              <w:bottom w:type="dxa" w:w="50"/>
              <w:right w:type="dxa" w:w="110"/>
            </w:tcMar>
            <w:vAlign w:val="center"/>
          </w:tcPr>
          <w:p>
            <w:pPr>
              <w:spacing w:after="0" w:line="252"/>
              <w:jc w:val="left"/>
            </w:pPr>
            <w:r>
              <w:rPr>
                <w:color w:val="5B6372"/>
                <w:sz w:val="21"/>
                <w:szCs w:val="21"/>
              </w:rPr>
              <w:t xml:space="preserve">Интерпозер</w:t>
            </w:r>
          </w:p>
        </w:tc>
        <w:tc>
          <w:tcPr>
            <w:tcW w:type="dxa" w:w="6700"/>
            <w:tcMar>
              <w:top w:type="dxa" w:w="50"/>
              <w:left w:type="dxa" w:w="110"/>
              <w:bottom w:type="dxa" w:w="50"/>
              <w:right w:type="dxa" w:w="110"/>
            </w:tcMar>
            <w:vAlign w:val="center"/>
          </w:tcPr>
          <w:p>
            <w:pPr>
              <w:spacing w:after="0" w:line="252"/>
              <w:jc w:val="left"/>
            </w:pPr>
            <w:r>
              <w:rPr>
                <w:color w:val="1A1F29"/>
                <w:sz w:val="21"/>
                <w:szCs w:val="21"/>
              </w:rPr>
              <w:t xml:space="preserve">Силициева подложка, върху която са монтирани GPU и стековете HBM2 и през която минават връзките между тях.</w:t>
            </w:r>
          </w:p>
        </w:tc>
      </w:tr>
      <w:tr>
        <w:trPr>
          <w:cantSplit/>
        </w:trPr>
        <w:tc>
          <w:tcPr>
            <w:tcW w:type="dxa" w:w="2655"/>
            <w:tcMar>
              <w:top w:type="dxa" w:w="50"/>
              <w:left w:type="dxa" w:w="110"/>
              <w:bottom w:type="dxa" w:w="50"/>
              <w:right w:type="dxa" w:w="110"/>
            </w:tcMar>
            <w:vAlign w:val="center"/>
          </w:tcPr>
          <w:p>
            <w:pPr>
              <w:spacing w:after="0" w:line="252"/>
              <w:jc w:val="left"/>
            </w:pPr>
            <w:r>
              <w:rPr>
                <w:color w:val="5B6372"/>
                <w:sz w:val="21"/>
                <w:szCs w:val="21"/>
              </w:rPr>
              <w:t xml:space="preserve">SMX / NCU</w:t>
            </w:r>
          </w:p>
        </w:tc>
        <w:tc>
          <w:tcPr>
            <w:tcW w:type="dxa" w:w="6700"/>
            <w:tcMar>
              <w:top w:type="dxa" w:w="50"/>
              <w:left w:type="dxa" w:w="110"/>
              <w:bottom w:type="dxa" w:w="50"/>
              <w:right w:type="dxa" w:w="110"/>
            </w:tcMar>
            <w:vAlign w:val="center"/>
          </w:tcPr>
          <w:p>
            <w:pPr>
              <w:spacing w:after="0" w:line="252"/>
              <w:jc w:val="left"/>
            </w:pPr>
            <w:r>
              <w:rPr>
                <w:color w:val="1A1F29"/>
                <w:sz w:val="21"/>
                <w:szCs w:val="21"/>
              </w:rPr>
              <w:t xml:space="preserve">Основният изчислителен блок съответно при NVIDIA Kepler и AMD Vega.</w:t>
            </w:r>
          </w:p>
        </w:tc>
      </w:tr>
      <w:tr>
        <w:trPr>
          <w:cantSplit/>
        </w:trPr>
        <w:tc>
          <w:tcPr>
            <w:tcW w:type="dxa" w:w="2655"/>
            <w:tcMar>
              <w:top w:type="dxa" w:w="50"/>
              <w:left w:type="dxa" w:w="110"/>
              <w:bottom w:type="dxa" w:w="50"/>
              <w:right w:type="dxa" w:w="110"/>
            </w:tcMar>
            <w:vAlign w:val="center"/>
          </w:tcPr>
          <w:p>
            <w:pPr>
              <w:spacing w:after="0" w:line="252"/>
              <w:jc w:val="left"/>
            </w:pPr>
            <w:r>
              <w:rPr>
                <w:color w:val="5B6372"/>
                <w:sz w:val="21"/>
                <w:szCs w:val="21"/>
              </w:rPr>
              <w:t xml:space="preserve">ROP</w:t>
            </w:r>
          </w:p>
        </w:tc>
        <w:tc>
          <w:tcPr>
            <w:tcW w:type="dxa" w:w="6700"/>
            <w:tcMar>
              <w:top w:type="dxa" w:w="50"/>
              <w:left w:type="dxa" w:w="110"/>
              <w:bottom w:type="dxa" w:w="50"/>
              <w:right w:type="dxa" w:w="110"/>
            </w:tcMar>
            <w:vAlign w:val="center"/>
          </w:tcPr>
          <w:p>
            <w:pPr>
              <w:spacing w:after="0" w:line="252"/>
              <w:jc w:val="left"/>
            </w:pPr>
            <w:r>
              <w:rPr>
                <w:color w:val="1A1F29"/>
                <w:sz w:val="21"/>
                <w:szCs w:val="21"/>
              </w:rPr>
              <w:t xml:space="preserve">Render Output Unit – блок, който записва готовите пиксели в паметта.</w:t>
            </w:r>
          </w:p>
        </w:tc>
      </w:tr>
      <w:tr>
        <w:trPr>
          <w:cantSplit/>
        </w:trPr>
        <w:tc>
          <w:tcPr>
            <w:tcW w:type="dxa" w:w="2655"/>
            <w:tcMar>
              <w:top w:type="dxa" w:w="50"/>
              <w:left w:type="dxa" w:w="110"/>
              <w:bottom w:type="dxa" w:w="50"/>
              <w:right w:type="dxa" w:w="110"/>
            </w:tcMar>
            <w:vAlign w:val="center"/>
          </w:tcPr>
          <w:p>
            <w:pPr>
              <w:spacing w:after="0" w:line="252"/>
              <w:jc w:val="left"/>
            </w:pPr>
            <w:r>
              <w:rPr>
                <w:color w:val="5B6372"/>
                <w:sz w:val="21"/>
                <w:szCs w:val="21"/>
              </w:rPr>
              <w:t xml:space="preserve">TMU</w:t>
            </w:r>
          </w:p>
        </w:tc>
        <w:tc>
          <w:tcPr>
            <w:tcW w:type="dxa" w:w="6700"/>
            <w:tcMar>
              <w:top w:type="dxa" w:w="50"/>
              <w:left w:type="dxa" w:w="110"/>
              <w:bottom w:type="dxa" w:w="50"/>
              <w:right w:type="dxa" w:w="110"/>
            </w:tcMar>
            <w:vAlign w:val="center"/>
          </w:tcPr>
          <w:p>
            <w:pPr>
              <w:spacing w:after="0" w:line="252"/>
              <w:jc w:val="left"/>
            </w:pPr>
            <w:r>
              <w:rPr>
                <w:color w:val="1A1F29"/>
                <w:sz w:val="21"/>
                <w:szCs w:val="21"/>
              </w:rPr>
              <w:t xml:space="preserve">Texture Mapping Unit – блок, който извлича и филтрира текстури.</w:t>
            </w:r>
          </w:p>
        </w:tc>
      </w:tr>
      <w:tr>
        <w:trPr>
          <w:cantSplit/>
        </w:trPr>
        <w:tc>
          <w:tcPr>
            <w:tcW w:type="dxa" w:w="2655"/>
            <w:tcMar>
              <w:top w:type="dxa" w:w="50"/>
              <w:left w:type="dxa" w:w="110"/>
              <w:bottom w:type="dxa" w:w="50"/>
              <w:right w:type="dxa" w:w="110"/>
            </w:tcMar>
            <w:vAlign w:val="center"/>
          </w:tcPr>
          <w:p>
            <w:pPr>
              <w:spacing w:after="0" w:line="252"/>
              <w:jc w:val="left"/>
            </w:pPr>
            <w:r>
              <w:rPr>
                <w:color w:val="5B6372"/>
                <w:sz w:val="21"/>
                <w:szCs w:val="21"/>
              </w:rPr>
              <w:t xml:space="preserve">TDP / TBP</w:t>
            </w:r>
          </w:p>
        </w:tc>
        <w:tc>
          <w:tcPr>
            <w:tcW w:type="dxa" w:w="6700"/>
            <w:tcMar>
              <w:top w:type="dxa" w:w="50"/>
              <w:left w:type="dxa" w:w="110"/>
              <w:bottom w:type="dxa" w:w="50"/>
              <w:right w:type="dxa" w:w="110"/>
            </w:tcMar>
            <w:vAlign w:val="center"/>
          </w:tcPr>
          <w:p>
            <w:pPr>
              <w:spacing w:after="0" w:line="252"/>
              <w:jc w:val="left"/>
            </w:pPr>
            <w:r>
              <w:rPr>
                <w:color w:val="1A1F29"/>
                <w:sz w:val="21"/>
                <w:szCs w:val="21"/>
              </w:rPr>
              <w:t xml:space="preserve">Топлинен пакет на чипа / типична консумация на цялата платка.</w:t>
            </w:r>
          </w:p>
        </w:tc>
      </w:tr>
      <w:tr>
        <w:trPr>
          <w:cantSplit/>
        </w:trPr>
        <w:tc>
          <w:tcPr>
            <w:tcW w:type="dxa" w:w="2655"/>
            <w:tcMar>
              <w:top w:type="dxa" w:w="50"/>
              <w:left w:type="dxa" w:w="110"/>
              <w:bottom w:type="dxa" w:w="50"/>
              <w:right w:type="dxa" w:w="110"/>
            </w:tcMar>
            <w:vAlign w:val="center"/>
          </w:tcPr>
          <w:p>
            <w:pPr>
              <w:spacing w:after="0" w:line="252"/>
              <w:jc w:val="left"/>
            </w:pPr>
            <w:r>
              <w:rPr>
                <w:color w:val="5B6372"/>
                <w:sz w:val="21"/>
                <w:szCs w:val="21"/>
              </w:rPr>
              <w:t xml:space="preserve">Warp / wavefront</w:t>
            </w:r>
          </w:p>
        </w:tc>
        <w:tc>
          <w:tcPr>
            <w:tcW w:type="dxa" w:w="6700"/>
            <w:tcMar>
              <w:top w:type="dxa" w:w="50"/>
              <w:left w:type="dxa" w:w="110"/>
              <w:bottom w:type="dxa" w:w="50"/>
              <w:right w:type="dxa" w:w="110"/>
            </w:tcMar>
            <w:vAlign w:val="center"/>
          </w:tcPr>
          <w:p>
            <w:pPr>
              <w:spacing w:after="0" w:line="252"/>
              <w:jc w:val="left"/>
            </w:pPr>
            <w:r>
              <w:rPr>
                <w:color w:val="1A1F29"/>
                <w:sz w:val="21"/>
                <w:szCs w:val="21"/>
              </w:rPr>
              <w:t xml:space="preserve">Група нишки, които се изпълняват заедно с една инструкция (32 при NVIDIA, 64 при AMD).</w:t>
            </w:r>
          </w:p>
        </w:tc>
      </w:tr>
      <w:tr>
        <w:trPr>
          <w:cantSplit/>
        </w:trPr>
        <w:tc>
          <w:tcPr>
            <w:tcW w:type="dxa" w:w="2655"/>
            <w:tcMar>
              <w:top w:type="dxa" w:w="50"/>
              <w:left w:type="dxa" w:w="110"/>
              <w:bottom w:type="dxa" w:w="50"/>
              <w:right w:type="dxa" w:w="110"/>
            </w:tcMar>
            <w:vAlign w:val="center"/>
          </w:tcPr>
          <w:p>
            <w:pPr>
              <w:spacing w:after="0" w:line="252"/>
              <w:jc w:val="left"/>
            </w:pPr>
            <w:r>
              <w:rPr>
                <w:color w:val="5B6372"/>
                <w:sz w:val="21"/>
                <w:szCs w:val="21"/>
              </w:rPr>
              <w:t xml:space="preserve">Пропускателна способност</w:t>
            </w:r>
          </w:p>
        </w:tc>
        <w:tc>
          <w:tcPr>
            <w:tcW w:type="dxa" w:w="6700"/>
            <w:tcMar>
              <w:top w:type="dxa" w:w="50"/>
              <w:left w:type="dxa" w:w="110"/>
              <w:bottom w:type="dxa" w:w="50"/>
              <w:right w:type="dxa" w:w="110"/>
            </w:tcMar>
            <w:vAlign w:val="center"/>
          </w:tcPr>
          <w:p>
            <w:pPr>
              <w:spacing w:after="0" w:line="252"/>
              <w:jc w:val="left"/>
            </w:pPr>
            <w:r>
              <w:rPr>
                <w:color w:val="1A1F29"/>
                <w:sz w:val="21"/>
                <w:szCs w:val="21"/>
              </w:rPr>
              <w:t xml:space="preserve">Количеството данни, които могат да се пренесат между паметта и GPU за една секунда.</w:t>
            </w:r>
          </w:p>
        </w:tc>
      </w:tr>
    </w:tbl>
    <w:p>
      <w:pPr>
        <w:pStyle w:val="Heading1"/>
      </w:pPr>
      <w:r>
        <w:t xml:space="preserve">Използвани източници</w:t>
      </w:r>
    </w:p>
    <w:p>
      <w:pPr>
        <w:pStyle w:val="ListParagraph"/>
        <w:numPr>
          <w:ilvl w:val="0"/>
          <w:numId w:val="4"/>
        </w:numPr>
        <w:spacing w:after="80"/>
      </w:pPr>
      <w:r>
        <w:rPr>
          <w:sz w:val="22"/>
          <w:szCs w:val="22"/>
        </w:rPr>
        <w:t xml:space="preserve">TechPowerUp. NVIDIA GeForce GTX 780 Specs. TechPowerUp GPU Database. https://www.techpowerup.com/gpu-specs/geforce-gtx-780.c1701</w:t>
      </w:r>
    </w:p>
    <w:p>
      <w:pPr>
        <w:pStyle w:val="ListParagraph"/>
        <w:numPr>
          <w:ilvl w:val="0"/>
          <w:numId w:val="4"/>
        </w:numPr>
        <w:spacing w:after="80"/>
      </w:pPr>
      <w:r>
        <w:rPr>
          <w:sz w:val="22"/>
          <w:szCs w:val="22"/>
        </w:rPr>
        <w:t xml:space="preserve">TechPowerUp. AMD Radeon RX Vega 56 Specs. TechPowerUp GPU Database. https://www.techpowerup.com/gpu-specs/radeon-rx-vega-56.c2993</w:t>
      </w:r>
    </w:p>
    <w:p>
      <w:pPr>
        <w:pStyle w:val="ListParagraph"/>
        <w:numPr>
          <w:ilvl w:val="0"/>
          <w:numId w:val="4"/>
        </w:numPr>
        <w:spacing w:after="80"/>
      </w:pPr>
      <w:r>
        <w:rPr>
          <w:sz w:val="22"/>
          <w:szCs w:val="22"/>
        </w:rPr>
        <w:t xml:space="preserve">Wikipedia. GeForce 700 series. https://en.wikipedia.org/wiki/GeForce_700_series</w:t>
      </w:r>
    </w:p>
    <w:p>
      <w:pPr>
        <w:pStyle w:val="ListParagraph"/>
        <w:numPr>
          <w:ilvl w:val="0"/>
          <w:numId w:val="4"/>
        </w:numPr>
        <w:spacing w:after="80"/>
      </w:pPr>
      <w:r>
        <w:rPr>
          <w:sz w:val="22"/>
          <w:szCs w:val="22"/>
        </w:rPr>
        <w:t xml:space="preserve">Wikipedia. Radeon RX Vega series. https://en.wikipedia.org/wiki/Radeon_RX_Vega_series</w:t>
      </w:r>
    </w:p>
    <w:p>
      <w:pPr>
        <w:pStyle w:val="ListParagraph"/>
        <w:numPr>
          <w:ilvl w:val="0"/>
          <w:numId w:val="4"/>
        </w:numPr>
        <w:spacing w:after="80"/>
      </w:pPr>
      <w:r>
        <w:rPr>
          <w:sz w:val="22"/>
          <w:szCs w:val="22"/>
        </w:rPr>
        <w:t xml:space="preserve">Wikipedia. Kepler (microarchitecture). https://en.wikipedia.org/wiki/Kepler_(microarchitecture)</w:t>
      </w:r>
    </w:p>
    <w:p>
      <w:pPr>
        <w:pStyle w:val="ListParagraph"/>
        <w:numPr>
          <w:ilvl w:val="0"/>
          <w:numId w:val="4"/>
        </w:numPr>
        <w:spacing w:after="80"/>
      </w:pPr>
      <w:r>
        <w:rPr>
          <w:sz w:val="22"/>
          <w:szCs w:val="22"/>
        </w:rPr>
        <w:t xml:space="preserve">Wikipedia. Graphics Core Next. https://en.wikipedia.org/wiki/Graphics_Core_Next</w:t>
      </w:r>
    </w:p>
    <w:p>
      <w:pPr>
        <w:pStyle w:val="ListParagraph"/>
        <w:numPr>
          <w:ilvl w:val="0"/>
          <w:numId w:val="4"/>
        </w:numPr>
        <w:spacing w:after="80"/>
      </w:pPr>
      <w:r>
        <w:rPr>
          <w:sz w:val="22"/>
          <w:szCs w:val="22"/>
        </w:rPr>
        <w:t xml:space="preserve">Guru3D. AMD Radeon RX Vega 56 8GB review – Architecture and Specifications, 2017. https://www.guru3d.com/review/amd-radeon-rx-vega-56-8gb-review/page-6/</w:t>
      </w:r>
    </w:p>
    <w:p>
      <w:pPr>
        <w:pStyle w:val="ListParagraph"/>
        <w:numPr>
          <w:ilvl w:val="0"/>
          <w:numId w:val="4"/>
        </w:numPr>
        <w:spacing w:after="80"/>
      </w:pPr>
      <w:r>
        <w:rPr>
          <w:sz w:val="22"/>
          <w:szCs w:val="22"/>
        </w:rPr>
        <w:t xml:space="preserve">PassMark Software. GeForce GTX 780 vs Radeon RX Vega 56. https://www.videocardbenchmark.net/compare/2525vs3821/GeForce-GTX-780-vs-Radeon-RX-Vega-56</w:t>
      </w:r>
    </w:p>
    <w:p>
      <w:pPr>
        <w:pStyle w:val="ListParagraph"/>
        <w:numPr>
          <w:ilvl w:val="0"/>
          <w:numId w:val="4"/>
        </w:numPr>
        <w:spacing w:after="80"/>
      </w:pPr>
      <w:r>
        <w:rPr>
          <w:sz w:val="22"/>
          <w:szCs w:val="22"/>
        </w:rPr>
        <w:t xml:space="preserve">ComputerBase. 3DMark Time Spy: Bestenliste mit über 110 Grafikkarten der Jahre 2012 bis 2025, 2024 (обновена 2025). https://www.computerbase.de/2024-07/3dmark-time-spy-benchmark/</w:t>
      </w:r>
    </w:p>
    <w:p>
      <w:pPr>
        <w:pStyle w:val="ListParagraph"/>
        <w:numPr>
          <w:ilvl w:val="0"/>
          <w:numId w:val="4"/>
        </w:numPr>
        <w:spacing w:after="80"/>
      </w:pPr>
      <w:r>
        <w:rPr>
          <w:sz w:val="22"/>
          <w:szCs w:val="22"/>
        </w:rPr>
        <w:t xml:space="preserve">AnandTech. NVIDIA Announces GeForce GTX 780/770 Price Cuts; GTX 780 Ti Launch Date &amp; Price, 28.10.2013. https://www.anandtech.com/show/7465</w:t>
      </w:r>
    </w:p>
    <w:p>
      <w:pPr>
        <w:pStyle w:val="ListParagraph"/>
        <w:numPr>
          <w:ilvl w:val="0"/>
          <w:numId w:val="4"/>
        </w:numPr>
        <w:spacing w:after="80"/>
      </w:pPr>
      <w:r>
        <w:rPr>
          <w:sz w:val="22"/>
          <w:szCs w:val="22"/>
        </w:rPr>
        <w:t xml:space="preserve">The FPS Review. NVIDIA Confirms End of Support for Kepler-Based GeForce GTX and GeForce GT Graphics Cards Later This Year, 11.06.2021. https://www.thefpsreview.com/2021/06/11/nvidia-confirms-end-of-support-for-kepler-based-geforce-gtx-and-geforce-gt-graphics-cards-later-this-year/</w:t>
      </w:r>
    </w:p>
    <w:p>
      <w:pPr>
        <w:pStyle w:val="ListParagraph"/>
        <w:numPr>
          <w:ilvl w:val="0"/>
          <w:numId w:val="4"/>
        </w:numPr>
        <w:spacing w:after="80"/>
      </w:pPr>
      <w:r>
        <w:rPr>
          <w:sz w:val="22"/>
          <w:szCs w:val="22"/>
        </w:rPr>
        <w:t xml:space="preserve">NVIDIA. CUDA Toolkit 12.0 Release Notes, 2022. https://docs.nvidia.com/cuda/archive/12.0.0/cuda-toolkit-release-notes/index.html</w:t>
      </w:r>
    </w:p>
    <w:p>
      <w:pPr>
        <w:pStyle w:val="ListParagraph"/>
        <w:numPr>
          <w:ilvl w:val="0"/>
          <w:numId w:val="4"/>
        </w:numPr>
        <w:spacing w:after="80"/>
      </w:pPr>
      <w:r>
        <w:rPr>
          <w:sz w:val="22"/>
          <w:szCs w:val="22"/>
        </w:rPr>
        <w:t xml:space="preserve">AnandTech. AMD Reduces Ongoing Driver Support for Polaris and Vega GPUs, 2023. https://www.anandtech.com/show/21126</w:t>
      </w:r>
    </w:p>
    <w:p>
      <w:pPr>
        <w:pStyle w:val="ListParagraph"/>
        <w:numPr>
          <w:ilvl w:val="0"/>
          <w:numId w:val="4"/>
        </w:numPr>
        <w:spacing w:after="80"/>
      </w:pPr>
      <w:r>
        <w:rPr>
          <w:sz w:val="22"/>
          <w:szCs w:val="22"/>
        </w:rPr>
        <w:t xml:space="preserve">Guru3D. AMD Radeon Adrenalin 26.5.2 (Polaris and Vega) driver download, 22.05.2026. https://guru3d.com/download/amd-radeon-software-adrenalin-2652-for-polaris-and-vega-driver-download/</w:t>
      </w:r>
    </w:p>
    <w:p>
      <w:pPr>
        <w:pStyle w:val="ListParagraph"/>
        <w:numPr>
          <w:ilvl w:val="0"/>
          <w:numId w:val="4"/>
        </w:numPr>
        <w:spacing w:after="80"/>
      </w:pPr>
      <w:r>
        <w:rPr>
          <w:sz w:val="22"/>
          <w:szCs w:val="22"/>
        </w:rPr>
        <w:t xml:space="preserve">AMD. ROCm: System requirements (Linux). https://rocm.docs.amd.com/projects/install-on-linux/en/latest/reference/system-requirements.html</w:t>
      </w:r>
    </w:p>
    <w:p>
      <w:pPr>
        <w:pStyle w:val="ListParagraph"/>
        <w:numPr>
          <w:ilvl w:val="0"/>
          <w:numId w:val="4"/>
        </w:numPr>
        <w:spacing w:after="80"/>
      </w:pPr>
      <w:r>
        <w:rPr>
          <w:sz w:val="22"/>
          <w:szCs w:val="22"/>
        </w:rPr>
        <w:t xml:space="preserve">Wikimedia Commons. Снимки на GK110, Vega 10 и платката на GTX 780; автори Fritzchens Fritz (CC0) и GBPublic_PR (CC BY 2.0). https://commons.wikimedia.org</w:t>
      </w:r>
    </w:p>
    <w:p>
      <w:pPr>
        <w:spacing w:before="200"/>
      </w:pPr>
      <w:r>
        <w:rPr>
          <w:i/>
          <w:iCs/>
          <w:color w:val="5B6372"/>
          <w:sz w:val="22"/>
          <w:szCs w:val="22"/>
        </w:rPr>
        <w:t xml:space="preserve">Всички електронни източници са проверени на 20.10.2026 г.</w:t>
      </w:r>
    </w:p>
    <w:sectPr>
      <w:footerReference w:type="default" r:id="rId6"/>
      <w:footerReference w:type="first" r:id="rId7"/>
      <w:pgSz w:w="11906" w:h="16838" w:orient="portrait"/>
      <w:pgMar w:top="1134" w:right="1134" w:bottom="1134" w:left="1417" w:header="708"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372"/>
        <w:sz w:val="20"/>
        <w:szCs w:val="20"/>
      </w:rPr>
      <w:fldChar w:fldCharType="begin"/>
    </w:r>
    <w:r>
      <w:rPr>
        <w:color w:val="5B6372"/>
        <w:sz w:val="20"/>
        <w:szCs w:val="20"/>
      </w:rPr>
      <w:instrText xml:space="preserve">PAGE</w:instrText>
    </w:r>
    <w:r>
      <w:rPr>
        <w:color w:val="5B6372"/>
        <w:sz w:val="20"/>
        <w:szCs w:val="20"/>
      </w:rPr>
      <w:fldChar w:fldCharType="separate"/>
    </w:r>
    <w:r>
      <w:rPr>
        <w:color w:val="5B6372"/>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09" w:hanging="357"/>
      </w:pPr>
    </w:lvl>
  </w:abstractNum>
  <w:abstractNum w:abstractNumId="3" w15:restartNumberingAfterBreak="0">
    <w:multiLevelType w:val="hybridMultilevel"/>
    <w:lvl w:ilvl="0" w:tentative="1">
      <w:start w:val="1"/>
      <w:numFmt w:val="decimal"/>
      <w:lvlText w:val="%1."/>
      <w:lvlJc w:val="left"/>
      <w:pPr>
        <w:ind w:left="709" w:hanging="357"/>
      </w:pPr>
    </w:lvl>
  </w:abstractNum>
  <w:abstractNum w:abstractNumId="4" w15:restartNumberingAfterBreak="0">
    <w:multiLevelType w:val="hybridMultilevel"/>
    <w:lvl w:ilvl="0" w:tentative="1">
      <w:start w:val="1"/>
      <w:numFmt w:val="decimal"/>
      <w:lvlText w:val="[%1]"/>
      <w:lvlJc w:val="left"/>
      <w:pPr>
        <w:ind w:left="567" w:hanging="567"/>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F29"/>
        <w:sz w:val="24"/>
        <w:szCs w:val="24"/>
      </w:rPr>
    </w:rPrDefault>
    <w:pPrDefault>
      <w:pPr>
        <w:spacing w:after="120"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60" w:line="276"/>
      <w:outlineLvl w:val="0"/>
    </w:pPr>
    <w:rPr>
      <w:rFonts w:ascii="Arial" w:cs="Arial" w:eastAsia="Arial" w:hAnsi="Arial"/>
      <w:b/>
      <w:bCs/>
      <w:color w:val="1A1F29"/>
      <w:sz w:val="28"/>
      <w:szCs w:val="28"/>
    </w:rPr>
  </w:style>
  <w:style w:type="paragraph" w:styleId="Heading2">
    <w:name w:val="Heading 2"/>
    <w:basedOn w:val="Normal"/>
    <w:next w:val="Normal"/>
    <w:qFormat/>
    <w:pPr>
      <w:keepNext/>
      <w:keepLines/>
      <w:spacing w:after="120" w:before="240" w:line="276"/>
      <w:outlineLvl w:val="1"/>
    </w:pPr>
    <w:rPr>
      <w:rFonts w:ascii="Arial" w:cs="Arial" w:eastAsia="Arial" w:hAnsi="Arial"/>
      <w:b/>
      <w:bCs/>
      <w:color w:val="1A1F29"/>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e8a491b607e229d8168e9e4e6735b6e395e52781.jpg"/><Relationship Id="rId10" Type="http://schemas.openxmlformats.org/officeDocument/2006/relationships/image" Target="media/fceab52427faa4ab8b9a2021c492f5f18bf17f98.jpg"/><Relationship Id="rId11" Type="http://schemas.openxmlformats.org/officeDocument/2006/relationships/image" Target="media/8bc75b84cc1946509a29566386912d938481a089.jpg"/><Relationship Id="rId12" Type="http://schemas.openxmlformats.org/officeDocument/2006/relationships/image" Target="media/daa743b4979b8f1e5ebac0f0f3987017e49d87f3.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Сравнителен анализ на GeForce GTX 780 и Radeon RX Vega 56</dc:title>
  <dc:creator>Константин Христианов Ганев</dc:creator>
  <cp:lastModifiedBy>Un-named</cp:lastModifiedBy>
  <cp:revision>1</cp:revision>
  <dcterms:created xsi:type="dcterms:W3CDTF">2026-10-20T07:01:08.082Z</dcterms:created>
  <dcterms:modified xsi:type="dcterms:W3CDTF">2026-10-20T07:01:08.083Z</dcterms:modified>
</cp:coreProperties>
</file>

<file path=docProps/custom.xml><?xml version="1.0" encoding="utf-8"?>
<Properties xmlns="http://schemas.openxmlformats.org/officeDocument/2006/custom-properties" xmlns:vt="http://schemas.openxmlformats.org/officeDocument/2006/docPropsVTypes"/>
</file>