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BC62F" w14:textId="3A0A64F4" w:rsidR="008D45D6" w:rsidRDefault="008D45D6">
      <w:pPr>
        <w:pStyle w:val="1"/>
        <w:pageBreakBefore/>
      </w:pPr>
      <w:bookmarkStart w:id="0" w:name="συνδυασμός-πολλαπλών-q-πινάκων"/>
    </w:p>
    <w:p w14:paraId="2A5E36C8" w14:textId="6FC5761A" w:rsidR="008D45D6" w:rsidRDefault="008D45D6" w:rsidP="008D45D6">
      <w:pPr>
        <w:pStyle w:val="a0"/>
      </w:pPr>
      <w:r>
        <w:t>ΚΑΠΕΛΛΑΚΗ ΑΝΑΣΤΑΣΙΑ</w:t>
      </w:r>
    </w:p>
    <w:p w14:paraId="058E5325" w14:textId="0ED8DC42" w:rsidR="008D45D6" w:rsidRDefault="008D45D6" w:rsidP="008D45D6">
      <w:pPr>
        <w:pStyle w:val="a0"/>
      </w:pPr>
      <w:r>
        <w:t>ΜΗΤΣΙΩΝΗΣ ΚΩΝΣΤΑΝΤΙΝΟΣ</w:t>
      </w:r>
    </w:p>
    <w:p w14:paraId="36986658" w14:textId="77777777" w:rsidR="008D45D6" w:rsidRPr="008D45D6" w:rsidRDefault="008D45D6" w:rsidP="008D45D6">
      <w:pPr>
        <w:pStyle w:val="a0"/>
      </w:pPr>
    </w:p>
    <w:p w14:paraId="2ECD9CF9" w14:textId="01CABC05" w:rsidR="002B073E" w:rsidRDefault="00000000">
      <w:pPr>
        <w:pStyle w:val="1"/>
        <w:pageBreakBefore/>
      </w:pPr>
      <w:r>
        <w:lastRenderedPageBreak/>
        <w:t>1.6 Συνδυασμός πολλαπλών Q-πινάκων</w:t>
      </w:r>
    </w:p>
    <w:p w14:paraId="210BCEE1" w14:textId="77777777" w:rsidR="002B073E" w:rsidRDefault="00000000">
      <w:pPr>
        <w:pStyle w:val="2"/>
      </w:pPr>
      <w:bookmarkStart w:id="1" w:name="εκπαίδευση-με-διαφορετικούς-αντιπάλους"/>
      <w:r>
        <w:t>1.6.1 Εκπαίδευση με διαφορετικούς αντιπάλους</w:t>
      </w:r>
    </w:p>
    <w:p w14:paraId="5D0C6015" w14:textId="77777777" w:rsidR="002B073E" w:rsidRDefault="00000000">
      <w:pPr>
        <w:pStyle w:val="FirstParagraph"/>
      </w:pPr>
      <w:r>
        <w:t>Για τη μελέτη της επίδρασης του αντιπάλου στη γνώση που αποκτά ο Q-learning agent, πραγματοποιήθηκαν τρία διαφορετικά καθεστώτα εκπαίδευσης. Από κάθε καθεστώς προέκυψε ένας ανεξάρτητος Q-πίνακας:</w:t>
      </w:r>
    </w:p>
    <w:p w14:paraId="3ECEF75F" w14:textId="77777777" w:rsidR="002B073E" w:rsidRDefault="00000000">
      <w:pPr>
        <w:pStyle w:val="Compact"/>
        <w:numPr>
          <w:ilvl w:val="0"/>
          <w:numId w:val="2"/>
        </w:numPr>
      </w:pPr>
      <m:oMath>
        <m:sSub>
          <m:sSubPr>
            <m:ctrlPr>
              <w:rPr>
                <w:rFonts w:ascii="Cambria Math" w:hAnsi="Cambria Math"/>
              </w:rPr>
            </m:ctrlPr>
          </m:sSubPr>
          <m:e>
            <m:r>
              <w:rPr>
                <w:rFonts w:ascii="Cambria Math" w:hAnsi="Cambria Math"/>
              </w:rPr>
              <m:t>Q</m:t>
            </m:r>
          </m:e>
          <m:sub>
            <m:r>
              <m:rPr>
                <m:sty m:val="p"/>
              </m:rPr>
              <w:rPr>
                <w:rFonts w:ascii="Cambria Math" w:hAnsi="Cambria Math"/>
              </w:rPr>
              <m:t>random</m:t>
            </m:r>
          </m:sub>
        </m:sSub>
      </m:oMath>
      <w:r>
        <w:t>: εκπαίδευση απέναντι σε αντίπαλο που επιλέγει τυχαία μία από τις νόμιμες κινήσεις.</w:t>
      </w:r>
    </w:p>
    <w:p w14:paraId="24F4C703" w14:textId="77777777" w:rsidR="002B073E" w:rsidRDefault="00000000">
      <w:pPr>
        <w:pStyle w:val="Compact"/>
        <w:numPr>
          <w:ilvl w:val="0"/>
          <w:numId w:val="2"/>
        </w:numPr>
      </w:pPr>
      <m:oMath>
        <m:sSub>
          <m:sSubPr>
            <m:ctrlPr>
              <w:rPr>
                <w:rFonts w:ascii="Cambria Math" w:hAnsi="Cambria Math"/>
              </w:rPr>
            </m:ctrlPr>
          </m:sSubPr>
          <m:e>
            <m:r>
              <w:rPr>
                <w:rFonts w:ascii="Cambria Math" w:hAnsi="Cambria Math"/>
              </w:rPr>
              <m:t>Q</m:t>
            </m:r>
          </m:e>
          <m:sub>
            <m:r>
              <m:rPr>
                <m:sty m:val="p"/>
              </m:rPr>
              <w:rPr>
                <w:rFonts w:ascii="Cambria Math" w:hAnsi="Cambria Math"/>
              </w:rPr>
              <m:t>minimax</m:t>
            </m:r>
          </m:sub>
        </m:sSub>
      </m:oMath>
      <w:r>
        <w:t>: εκπαίδευση απέναντι σε αντίπαλο που χρησιμοποιεί τον αλγόριθμο minimax με alpha-beta pruning.</w:t>
      </w:r>
    </w:p>
    <w:p w14:paraId="5D838D36" w14:textId="77777777" w:rsidR="002B073E" w:rsidRDefault="00000000">
      <w:pPr>
        <w:pStyle w:val="Compact"/>
        <w:numPr>
          <w:ilvl w:val="0"/>
          <w:numId w:val="2"/>
        </w:numPr>
      </w:pPr>
      <m:oMath>
        <m:sSub>
          <m:sSubPr>
            <m:ctrlPr>
              <w:rPr>
                <w:rFonts w:ascii="Cambria Math" w:hAnsi="Cambria Math"/>
              </w:rPr>
            </m:ctrlPr>
          </m:sSubPr>
          <m:e>
            <m:r>
              <w:rPr>
                <w:rFonts w:ascii="Cambria Math" w:hAnsi="Cambria Math"/>
              </w:rPr>
              <m:t>Q</m:t>
            </m:r>
          </m:e>
          <m:sub>
            <m:r>
              <m:rPr>
                <m:sty m:val="p"/>
              </m:rPr>
              <w:rPr>
                <w:rFonts w:ascii="Cambria Math" w:hAnsi="Cambria Math"/>
              </w:rPr>
              <m:t>self</m:t>
            </m:r>
          </m:sub>
        </m:sSub>
      </m:oMath>
      <w:r>
        <w:t>: εκπαίδευση μέσω self-play, κατά την οποία ο ίδιος Q-learning agent ελέγχει εναλλάξ και τους δύο παίκτες.</w:t>
      </w:r>
    </w:p>
    <w:p w14:paraId="1ACD49A1" w14:textId="77777777" w:rsidR="002B073E" w:rsidRDefault="00000000">
      <w:pPr>
        <w:pStyle w:val="FirstParagraph"/>
      </w:pPr>
      <w:r>
        <w:t>Κάθε καθεστώς εκπαίδευσης δημιουργεί διαφορετική κατανομή εμπειριών. Απέναντι στον τυχαίο αντίπαλο, ο agent συναντά συχνά μη βέλτιστες κινήσεις και μαθαίνει να εκμεταλλεύεται τα λάθη του αντιπάλου. Κατά συνέπεια, μπορεί να αναπτύξει περισσότερο επιθετικές πολιτικές, οι οποίες είναι ιδιαίτερα αποτελεσματικές όταν ο αντίπαλος δεν αντιδρά βέλτιστα.</w:t>
      </w:r>
    </w:p>
    <w:p w14:paraId="508E6660" w14:textId="77777777" w:rsidR="002B073E" w:rsidRDefault="00000000">
      <w:pPr>
        <w:pStyle w:val="a0"/>
      </w:pPr>
      <w:r>
        <w:t>Αντίθετα, ο minimax αντίπαλος επιλέγει ισχυρότερες κινήσεις και δεν πραγματοποιεί εύκολα άμεσα εκμεταλλεύσιμα λάθη. Ο αντίστοιχος Q-learning agent αναγκάζεται να δώσει μεγαλύτερη έμφαση στην άμυνα, στην αποτροπή άμεσων απειλών και στην αποφυγή της ήττας.</w:t>
      </w:r>
    </w:p>
    <w:p w14:paraId="01FA5642" w14:textId="77777777" w:rsidR="002B073E" w:rsidRDefault="00000000">
      <w:pPr>
        <w:pStyle w:val="a0"/>
      </w:pPr>
      <w:r>
        <w:t>Στο self-play, η στρατηγική και των δύο παικτών μεταβάλλεται κατά τη διάρκεια της εκπαίδευσης. Ο κοινός Q-πίνακας χρησιμοποιείται και για τους δύο ρόλους, με αποτέλεσμα να δημιουργείται περισσότερο συμμετρική γνώση και να εξερευνώνται διαφορετικές ακολουθίες κινήσεων.</w:t>
      </w:r>
    </w:p>
    <w:p w14:paraId="7BCBCC3C" w14:textId="77777777" w:rsidR="002B073E" w:rsidRDefault="00000000">
      <w:pPr>
        <w:pStyle w:val="a0"/>
      </w:pPr>
      <w:r>
        <w:t xml:space="preserve">Επομένως, το ίδιο ζεύγος κατάστασης-ενέργειας </w:t>
      </w:r>
      <m:oMath>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oMath>
      <w:r>
        <w:t xml:space="preserve"> μπορεί να λάβει διαφορετική Q-τιμή στους τρεις πίνακες. Οι διαφορές αυτές δεν αποτελούν απαραίτητα σφάλμα. Εκφράζουν τη διαφορετική χρησιμότητα της ίδιας ενέργειας απέναντι σε διαφορετικού τύπου αντιπάλους και κάτω από διαφορετικές κατανομές επισκεπτόμενων καταστάσεων.</w:t>
      </w:r>
    </w:p>
    <w:p w14:paraId="546704B9" w14:textId="77777777" w:rsidR="002B073E" w:rsidRDefault="00000000">
      <w:pPr>
        <w:pStyle w:val="2"/>
      </w:pPr>
      <w:bookmarkStart w:id="2" w:name="συγχώνευση-με-αριθμητικό-μέσο-όρο"/>
      <w:bookmarkEnd w:id="1"/>
      <w:r>
        <w:t>1.6.2 Συγχώνευση με αριθμητικό μέσο όρο</w:t>
      </w:r>
    </w:p>
    <w:p w14:paraId="0F2CFF68" w14:textId="77777777" w:rsidR="002B073E" w:rsidRDefault="00000000">
      <w:pPr>
        <w:pStyle w:val="FirstParagraph"/>
      </w:pPr>
      <w:r>
        <w:t xml:space="preserve">Η πρώτη μέθοδος συνδυασμού των Q-πινάκων βασίζεται στον αριθμητικό μέσο όρο των διαθέσιμων Q-τιμών. Έστω </w:t>
      </w:r>
      <m:oMath>
        <m:sSub>
          <m:sSubPr>
            <m:ctrlPr>
              <w:rPr>
                <w:rFonts w:ascii="Cambria Math" w:hAnsi="Cambria Math"/>
              </w:rPr>
            </m:ctrlPr>
          </m:sSubPr>
          <m:e>
            <m:r>
              <m:rPr>
                <m:scr m:val="script"/>
                <m:sty m:val="p"/>
              </m:rPr>
              <w:rPr>
                <w:rFonts w:ascii="Cambria Math" w:hAnsi="Cambria Math"/>
              </w:rPr>
              <m:t>T</m:t>
            </m:r>
          </m:e>
          <m:sub>
            <m:r>
              <w:rPr>
                <w:rFonts w:ascii="Cambria Math" w:hAnsi="Cambria Math"/>
              </w:rPr>
              <m:t>s</m:t>
            </m:r>
            <m:r>
              <m:rPr>
                <m:sty m:val="p"/>
              </m:rPr>
              <w:rPr>
                <w:rFonts w:ascii="Cambria Math" w:hAnsi="Cambria Math"/>
              </w:rPr>
              <m:t>,</m:t>
            </m:r>
            <m:r>
              <w:rPr>
                <w:rFonts w:ascii="Cambria Math" w:hAnsi="Cambria Math"/>
              </w:rPr>
              <m:t>a</m:t>
            </m:r>
          </m:sub>
        </m:sSub>
      </m:oMath>
      <w:r>
        <w:t xml:space="preserve"> το σύνολο των Q-πινάκων στους οποίους υπάρχει το ζεύγος κατάστασης-ενέργειας </w:t>
      </w:r>
      <m:oMath>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oMath>
      <w:r>
        <w:t>. Ο συγχωνευμένος πίνακας ορίζεται ως:</w:t>
      </w:r>
    </w:p>
    <w:p w14:paraId="4C4EF639" w14:textId="77777777" w:rsidR="002B073E" w:rsidRDefault="00000000">
      <w:pPr>
        <w:pStyle w:val="a0"/>
        <w:spacing w:before="100" w:after="100"/>
        <w:jc w:val="center"/>
      </w:pPr>
      <m:oMathPara>
        <m:oMathParaPr>
          <m:jc m:val="center"/>
        </m:oMathParaPr>
        <m:oMath>
          <m:sSub>
            <m:sSubPr>
              <m:ctrlPr>
                <w:rPr>
                  <w:rFonts w:ascii="Cambria Math" w:hAnsi="Cambria Math"/>
                </w:rPr>
              </m:ctrlPr>
            </m:sSubPr>
            <m:e>
              <m:r>
                <w:rPr>
                  <w:rFonts w:ascii="Cambria Math" w:hAnsi="Cambria Math"/>
                </w:rPr>
                <m:t>Q</m:t>
              </m:r>
            </m:e>
            <m:sub>
              <m:r>
                <m:rPr>
                  <m:sty m:val="p"/>
                </m:rPr>
                <w:rPr>
                  <w:rFonts w:ascii="Cambria Math" w:hAnsi="Cambria Math"/>
                </w:rPr>
                <m:t>avg</m:t>
              </m:r>
            </m:sub>
          </m:sSub>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m:rPr>
                          <m:scr m:val="script"/>
                          <m:sty m:val="p"/>
                        </m:rPr>
                        <w:rPr>
                          <w:rFonts w:ascii="Cambria Math" w:hAnsi="Cambria Math"/>
                        </w:rPr>
                        <m:t>T</m:t>
                      </m:r>
                    </m:e>
                    <m:sub>
                      <m:r>
                        <w:rPr>
                          <w:rFonts w:ascii="Cambria Math" w:hAnsi="Cambria Math"/>
                        </w:rPr>
                        <m:t>s</m:t>
                      </m:r>
                      <m:r>
                        <m:rPr>
                          <m:sty m:val="p"/>
                        </m:rPr>
                        <w:rPr>
                          <w:rFonts w:ascii="Cambria Math" w:hAnsi="Cambria Math"/>
                        </w:rPr>
                        <m:t>,</m:t>
                      </m:r>
                      <m:r>
                        <w:rPr>
                          <w:rFonts w:ascii="Cambria Math" w:hAnsi="Cambria Math"/>
                        </w:rPr>
                        <m:t>a</m:t>
                      </m:r>
                    </m:sub>
                  </m:sSub>
                </m:e>
              </m:d>
            </m:den>
          </m:f>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T</m:t>
                  </m:r>
                </m:e>
                <m:sub>
                  <m:r>
                    <w:rPr>
                      <w:rFonts w:ascii="Cambria Math" w:hAnsi="Cambria Math"/>
                    </w:rPr>
                    <m:t>s</m:t>
                  </m:r>
                  <m:r>
                    <m:rPr>
                      <m:sty m:val="p"/>
                    </m:rPr>
                    <w:rPr>
                      <w:rFonts w:ascii="Cambria Math" w:hAnsi="Cambria Math"/>
                    </w:rPr>
                    <m:t>,</m:t>
                  </m:r>
                  <m:r>
                    <w:rPr>
                      <w:rFonts w:ascii="Cambria Math" w:hAnsi="Cambria Math"/>
                    </w:rPr>
                    <m:t>a</m:t>
                  </m:r>
                </m:sub>
              </m:sSub>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i</m:t>
                  </m:r>
                </m:sub>
              </m:sSub>
            </m:e>
          </m:nary>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r>
            <m:rPr>
              <m:sty m:val="p"/>
            </m:rPr>
            <w:rPr>
              <w:rFonts w:ascii="Cambria Math" w:hAnsi="Cambria Math"/>
            </w:rPr>
            <m:t>.</m:t>
          </m:r>
        </m:oMath>
      </m:oMathPara>
    </w:p>
    <w:p w14:paraId="0C48C074" w14:textId="77777777" w:rsidR="002B073E" w:rsidRDefault="00000000">
      <w:pPr>
        <w:pStyle w:val="FirstParagraph"/>
      </w:pPr>
      <w:r>
        <w:t xml:space="preserve">Στον υπολογισμό συμμετέχουν μόνο οι πίνακες στους οποίους υπάρχει πραγματικά το συγκεκριμένο ζεύγος </w:t>
      </w:r>
      <m:oMath>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oMath>
      <w:r>
        <w:t>. Δεν εισάγονται τεχνητές μηδενικές τιμές για ζεύγη που δεν εμφανίστηκαν σε κάποιο καθεστώς εκπαίδευσης.</w:t>
      </w:r>
    </w:p>
    <w:p w14:paraId="5E0BCA27" w14:textId="77777777" w:rsidR="002B073E" w:rsidRDefault="00000000">
      <w:pPr>
        <w:pStyle w:val="a0"/>
      </w:pPr>
      <w:r>
        <w:lastRenderedPageBreak/>
        <w:t>Η μέθοδος του μέσου όρου προσφέρει μία ισορροπημένη εκτίμηση, επειδή συνδυάζει τη γνώση που αποκτήθηκε από διαφορετικές πολιτικές αντιπάλων. Παράλληλα, περιορίζει την επίδραση ακραίων τιμών που μπορεί να προέκυψαν από ένα ιδιαίτερα εξειδικευμένο καθεστώς εκπαίδευσης.</w:t>
      </w:r>
    </w:p>
    <w:p w14:paraId="055713DC" w14:textId="77777777" w:rsidR="002B073E" w:rsidRDefault="00000000">
      <w:pPr>
        <w:pStyle w:val="a0"/>
      </w:pPr>
      <w:r>
        <w:t>Το βασικό μειονέκτημα είναι ότι μία πολύ καλή και αξιόπιστη εκτίμηση μπορεί να μειωθεί όταν συνδυάζεται με χαμηλότερες ή λιγότερο εκπαιδευμένες τιμές άλλων πινάκων.</w:t>
      </w:r>
    </w:p>
    <w:p w14:paraId="78A1A2A7" w14:textId="77777777" w:rsidR="002B073E" w:rsidRDefault="00000000">
      <w:pPr>
        <w:pStyle w:val="2"/>
      </w:pPr>
      <w:bookmarkStart w:id="3" w:name="συγχώνευση-με-μέγιστη-q-τιμή"/>
      <w:bookmarkEnd w:id="2"/>
      <w:r>
        <w:t>1.6.3 Συγχώνευση με μέγιστη Q-τιμή</w:t>
      </w:r>
    </w:p>
    <w:p w14:paraId="6BE9E8A9" w14:textId="77777777" w:rsidR="002B073E" w:rsidRDefault="00000000">
      <w:pPr>
        <w:pStyle w:val="FirstParagraph"/>
      </w:pPr>
      <w:r>
        <w:t>Η δεύτερη μέθοδος διατηρεί τη μέγιστη διαθέσιμη Q-τιμή για κάθε ζεύγος κατάστασης-ενέργειας:</w:t>
      </w:r>
    </w:p>
    <w:p w14:paraId="078F8F50" w14:textId="77777777" w:rsidR="002B073E" w:rsidRDefault="00000000">
      <w:pPr>
        <w:pStyle w:val="a0"/>
        <w:spacing w:before="100" w:after="100"/>
        <w:jc w:val="center"/>
      </w:pPr>
      <m:oMathPara>
        <m:oMathParaPr>
          <m:jc m:val="center"/>
        </m:oMathParaPr>
        <m:oMath>
          <m:sSub>
            <m:sSubPr>
              <m:ctrlPr>
                <w:rPr>
                  <w:rFonts w:ascii="Cambria Math" w:hAnsi="Cambria Math"/>
                </w:rPr>
              </m:ctrlPr>
            </m:sSubPr>
            <m:e>
              <m:r>
                <w:rPr>
                  <w:rFonts w:ascii="Cambria Math" w:hAnsi="Cambria Math"/>
                </w:rPr>
                <m:t>Q</m:t>
              </m:r>
            </m:e>
            <m:sub>
              <m:r>
                <m:rPr>
                  <m:sty m:val="p"/>
                </m:rPr>
                <w:rPr>
                  <w:rFonts w:ascii="Cambria Math" w:hAnsi="Cambria Math"/>
                </w:rPr>
                <m:t>max</m:t>
              </m:r>
            </m:sub>
          </m:sSub>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T</m:t>
                  </m:r>
                </m:e>
                <m:sub>
                  <m:r>
                    <w:rPr>
                      <w:rFonts w:ascii="Cambria Math" w:hAnsi="Cambria Math"/>
                    </w:rPr>
                    <m:t>s</m:t>
                  </m:r>
                  <m:r>
                    <m:rPr>
                      <m:sty m:val="p"/>
                    </m:rPr>
                    <w:rPr>
                      <w:rFonts w:ascii="Cambria Math" w:hAnsi="Cambria Math"/>
                    </w:rPr>
                    <m:t>,</m:t>
                  </m:r>
                  <m:r>
                    <w:rPr>
                      <w:rFonts w:ascii="Cambria Math" w:hAnsi="Cambria Math"/>
                    </w:rPr>
                    <m:t>a</m:t>
                  </m:r>
                </m:sub>
              </m:sSub>
            </m:lim>
          </m:limLow>
          <m:sSub>
            <m:sSubPr>
              <m:ctrlPr>
                <w:rPr>
                  <w:rFonts w:ascii="Cambria Math" w:hAnsi="Cambria Math"/>
                </w:rPr>
              </m:ctrlPr>
            </m:sSubPr>
            <m:e>
              <m:r>
                <w:rPr>
                  <w:rFonts w:ascii="Cambria Math" w:hAnsi="Cambria Math"/>
                </w:rPr>
                <m:t>Q</m:t>
              </m:r>
            </m:e>
            <m:sub>
              <m:r>
                <w:rPr>
                  <w:rFonts w:ascii="Cambria Math" w:hAnsi="Cambria Math"/>
                </w:rPr>
                <m:t>i</m:t>
              </m:r>
            </m:sub>
          </m:sSub>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r>
            <m:rPr>
              <m:sty m:val="p"/>
            </m:rPr>
            <w:rPr>
              <w:rFonts w:ascii="Cambria Math" w:hAnsi="Cambria Math"/>
            </w:rPr>
            <m:t>.</m:t>
          </m:r>
        </m:oMath>
      </m:oMathPara>
    </w:p>
    <w:p w14:paraId="2979A38A" w14:textId="77777777" w:rsidR="002B073E" w:rsidRDefault="00000000">
      <w:pPr>
        <w:pStyle w:val="FirstParagraph"/>
      </w:pPr>
      <w:r>
        <w:t>Με αυτή τη μέθοδο διατηρείται η πιο αισιόδοξη εκτίμηση που έχει προκύψει για κάθε ενέργεια. Μία ενέργεια που αξιολογήθηκε ως ιδιαίτερα καλή σε ένα από τα καθεστώτα εκπαίδευσης δεν υποβαθμίζεται από χαμηλότερες τιμές άλλων πινάκων.</w:t>
      </w:r>
    </w:p>
    <w:p w14:paraId="3A83B6CE" w14:textId="77777777" w:rsidR="002B073E" w:rsidRDefault="00000000">
      <w:pPr>
        <w:pStyle w:val="a0"/>
      </w:pPr>
      <w:r>
        <w:t>Ωστόσο, η επιλογή του μεγίστου μπορεί να οδηγήσει σε υπερεκτίμηση. Για παράδειγμα, μία επιθετική ενέργεια που είναι ιδιαίτερα αποδοτική απέναντι σε τυχαίο αντίπαλο μπορεί να είναι επικίνδυνη απέναντι σε έναν βέλτιστο αντίπαλο. Η μέθοδος του μεγίστου διατηρεί την υψηλότερη τιμή χωρίς να λαμβάνει υπόψη ότι αυτή μπορεί να προέκυψε από ένα πολύ συγκεκριμένο περιβάλλον εκπαίδευσης.</w:t>
      </w:r>
    </w:p>
    <w:p w14:paraId="6A08D639" w14:textId="77777777" w:rsidR="002B073E" w:rsidRDefault="00000000">
      <w:pPr>
        <w:pStyle w:val="2"/>
      </w:pPr>
      <w:bookmarkStart w:id="4" w:name="πρόσθετο-fine-tuning"/>
      <w:bookmarkEnd w:id="3"/>
      <w:r>
        <w:t>1.6.4 Πρόσθετο fine-tuning</w:t>
      </w:r>
    </w:p>
    <w:p w14:paraId="700F3D4B" w14:textId="77777777" w:rsidR="002B073E" w:rsidRDefault="00000000">
      <w:pPr>
        <w:pStyle w:val="FirstParagraph"/>
      </w:pPr>
      <w:r>
        <w:t>Μετά τη συγχώνευση δημιουργήθηκε ένα αντίγραφο του πίνακα που προέκυψε από τον αριθμητικό μέσο όρο. Το αντίγραφο αυτό υποβλήθηκε σε πρόσθετη εκπαίδευση μέσω self-play.</w:t>
      </w:r>
    </w:p>
    <w:p w14:paraId="13AF585D" w14:textId="77777777" w:rsidR="002B073E" w:rsidRDefault="00000000">
      <w:pPr>
        <w:pStyle w:val="a0"/>
      </w:pPr>
      <w:r>
        <w:t>Η πρόσθετη εκπαίδευση πραγματοποιήθηκε για:</w:t>
      </w:r>
    </w:p>
    <w:p w14:paraId="48DDB3D6" w14:textId="77777777" w:rsidR="002B073E" w:rsidRDefault="00000000">
      <w:pPr>
        <w:pStyle w:val="a0"/>
        <w:spacing w:before="100" w:after="100"/>
        <w:jc w:val="center"/>
      </w:pPr>
      <m:oMathPara>
        <m:oMathParaPr>
          <m:jc m:val="center"/>
        </m:oMathParaPr>
        <m:oMath>
          <m:sSub>
            <m:sSubPr>
              <m:ctrlPr>
                <w:rPr>
                  <w:rFonts w:ascii="Cambria Math" w:hAnsi="Cambria Math"/>
                </w:rPr>
              </m:ctrlPr>
            </m:sSubPr>
            <m:e>
              <m:r>
                <w:rPr>
                  <w:rFonts w:ascii="Cambria Math" w:hAnsi="Cambria Math"/>
                </w:rPr>
                <m:t>N</m:t>
              </m:r>
            </m:e>
            <m:sub>
              <m:r>
                <m:rPr>
                  <m:sty m:val="p"/>
                </m:rPr>
                <w:rPr>
                  <w:rFonts w:ascii="Cambria Math" w:hAnsi="Cambria Math"/>
                </w:rPr>
                <m:t>fine</m:t>
              </m:r>
              <m:r>
                <m:rPr>
                  <m:nor/>
                </m:rPr>
                <m:t>-</m:t>
              </m:r>
              <m:r>
                <m:rPr>
                  <m:sty m:val="p"/>
                </m:rPr>
                <w:rPr>
                  <w:rFonts w:ascii="Cambria Math" w:hAnsi="Cambria Math"/>
                </w:rPr>
                <m:t>tuning</m:t>
              </m:r>
            </m:sub>
          </m:sSub>
          <m:r>
            <m:rPr>
              <m:sty m:val="p"/>
            </m:rPr>
            <w:rPr>
              <w:rFonts w:ascii="Cambria Math" w:hAnsi="Cambria Math"/>
            </w:rPr>
            <m:t>=</m:t>
          </m:r>
          <m:f>
            <m:fPr>
              <m:ctrlPr>
                <w:rPr>
                  <w:rFonts w:ascii="Cambria Math" w:hAnsi="Cambria Math"/>
                </w:rPr>
              </m:ctrlPr>
            </m:fPr>
            <m:num>
              <m:r>
                <w:rPr>
                  <w:rFonts w:ascii="Cambria Math" w:hAnsi="Cambria Math"/>
                </w:rPr>
                <m:t>50 000</m:t>
              </m:r>
            </m:num>
            <m:den>
              <m:r>
                <w:rPr>
                  <w:rFonts w:ascii="Cambria Math" w:hAnsi="Cambria Math"/>
                </w:rPr>
                <m:t>5</m:t>
              </m:r>
            </m:den>
          </m:f>
          <m:r>
            <m:rPr>
              <m:sty m:val="p"/>
            </m:rPr>
            <w:rPr>
              <w:rFonts w:ascii="Cambria Math" w:hAnsi="Cambria Math"/>
            </w:rPr>
            <m:t>=</m:t>
          </m:r>
          <m:r>
            <w:rPr>
              <w:rFonts w:ascii="Cambria Math" w:hAnsi="Cambria Math"/>
            </w:rPr>
            <m:t>10 000</m:t>
          </m:r>
        </m:oMath>
      </m:oMathPara>
    </w:p>
    <w:p w14:paraId="7C490097" w14:textId="77777777" w:rsidR="002B073E" w:rsidRDefault="00000000">
      <w:pPr>
        <w:pStyle w:val="FirstParagraph"/>
      </w:pPr>
      <w:r>
        <w:t>επεισόδια.</w:t>
      </w:r>
    </w:p>
    <w:p w14:paraId="17A8979F" w14:textId="77777777" w:rsidR="002B073E" w:rsidRDefault="00000000">
      <w:pPr>
        <w:pStyle w:val="a0"/>
      </w:pPr>
      <w:r>
        <w:t>Ο σκοπός του fine-tuning ήταν να προσαρμοστούν οι συγχωνευμένες Q-τιμές σε μία ενιαία και συνεπή διαδικασία εκπαίδευσης. Η άμεση συγχώνευση μπορεί να συνδυάσει εκτιμήσεις που προέρχονται από διαφορετικές κατανομές εμπειριών και διαφορετικές πολιτικές αντιπάλων. Μέσω των νέων Q-learning ενημερώσεων, ο agent μπορεί να διορθώσει υπερεκτιμημένες ή υποεκτιμημένες τιμές.</w:t>
      </w:r>
    </w:p>
    <w:p w14:paraId="39CD5E7E" w14:textId="77777777" w:rsidR="002B073E" w:rsidRDefault="00000000">
      <w:pPr>
        <w:pStyle w:val="2"/>
        <w:pageBreakBefore/>
      </w:pPr>
      <w:bookmarkStart w:id="5" w:name="πειραματικά-αποτελέσματα"/>
      <w:bookmarkEnd w:id="4"/>
      <w:r>
        <w:lastRenderedPageBreak/>
        <w:t>1.6.5 Πειραματικά αποτελέσματα</w:t>
      </w:r>
    </w:p>
    <w:p w14:paraId="16AED64D" w14:textId="77777777" w:rsidR="002B073E" w:rsidRDefault="00000000">
      <w:pPr>
        <w:pStyle w:val="FirstParagraph"/>
      </w:pPr>
      <w:r>
        <w:t>Οι συγχωνευμένοι Q-πίνακες αξιολογήθηκαν σε 1.000 παιχνίδια απέναντι σε τυχαίο αντίπαλο. Τα αποτελέσματα παρουσιάζονται στον ακόλουθο πίνακα.</w:t>
      </w:r>
    </w:p>
    <w:tbl>
      <w:tblPr>
        <w:tblStyle w:val="Table"/>
        <w:tblW w:w="5000" w:type="pct"/>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020" w:firstRow="1" w:lastRow="0" w:firstColumn="0" w:lastColumn="0" w:noHBand="0" w:noVBand="0"/>
      </w:tblPr>
      <w:tblGrid>
        <w:gridCol w:w="3184"/>
        <w:gridCol w:w="981"/>
        <w:gridCol w:w="1035"/>
        <w:gridCol w:w="1152"/>
        <w:gridCol w:w="1672"/>
        <w:gridCol w:w="1710"/>
      </w:tblGrid>
      <w:tr w:rsidR="002B073E" w14:paraId="5B2922E5" w14:textId="77777777" w:rsidTr="002B073E">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D9EAF7"/>
            <w:vAlign w:val="center"/>
          </w:tcPr>
          <w:p w14:paraId="4C60093C" w14:textId="77777777" w:rsidR="002B073E" w:rsidRDefault="00000000">
            <w:pPr>
              <w:pStyle w:val="Compact"/>
              <w:jc w:val="center"/>
            </w:pPr>
            <w:r>
              <w:rPr>
                <w:b/>
                <w:sz w:val="20"/>
              </w:rPr>
              <w:t>Μέθοδος</w:t>
            </w:r>
          </w:p>
        </w:tc>
        <w:tc>
          <w:tcPr>
            <w:tcW w:w="0" w:type="auto"/>
            <w:shd w:val="clear" w:color="auto" w:fill="D9EAF7"/>
            <w:vAlign w:val="center"/>
          </w:tcPr>
          <w:p w14:paraId="1B4F24A8" w14:textId="77777777" w:rsidR="002B073E" w:rsidRDefault="00000000">
            <w:pPr>
              <w:pStyle w:val="Compact"/>
              <w:jc w:val="center"/>
            </w:pPr>
            <w:r>
              <w:rPr>
                <w:b/>
                <w:sz w:val="20"/>
              </w:rPr>
              <w:t>Νίκες X</w:t>
            </w:r>
          </w:p>
        </w:tc>
        <w:tc>
          <w:tcPr>
            <w:tcW w:w="0" w:type="auto"/>
            <w:shd w:val="clear" w:color="auto" w:fill="D9EAF7"/>
            <w:vAlign w:val="center"/>
          </w:tcPr>
          <w:p w14:paraId="463DFD0C" w14:textId="77777777" w:rsidR="002B073E" w:rsidRDefault="00000000">
            <w:pPr>
              <w:pStyle w:val="Compact"/>
              <w:jc w:val="center"/>
            </w:pPr>
            <w:r>
              <w:rPr>
                <w:b/>
                <w:sz w:val="20"/>
              </w:rPr>
              <w:t>Ήττες X</w:t>
            </w:r>
          </w:p>
        </w:tc>
        <w:tc>
          <w:tcPr>
            <w:tcW w:w="0" w:type="auto"/>
            <w:shd w:val="clear" w:color="auto" w:fill="D9EAF7"/>
            <w:vAlign w:val="center"/>
          </w:tcPr>
          <w:p w14:paraId="5321A228" w14:textId="77777777" w:rsidR="002B073E" w:rsidRDefault="00000000">
            <w:pPr>
              <w:pStyle w:val="Compact"/>
              <w:jc w:val="center"/>
            </w:pPr>
            <w:r>
              <w:rPr>
                <w:b/>
                <w:sz w:val="20"/>
              </w:rPr>
              <w:t>Ισοπαλίες</w:t>
            </w:r>
          </w:p>
        </w:tc>
        <w:tc>
          <w:tcPr>
            <w:tcW w:w="0" w:type="auto"/>
            <w:shd w:val="clear" w:color="auto" w:fill="D9EAF7"/>
            <w:vAlign w:val="center"/>
          </w:tcPr>
          <w:p w14:paraId="4C56A87B" w14:textId="77777777" w:rsidR="002B073E" w:rsidRDefault="00000000">
            <w:pPr>
              <w:pStyle w:val="Compact"/>
              <w:jc w:val="center"/>
            </w:pPr>
            <w:r>
              <w:rPr>
                <w:b/>
                <w:sz w:val="20"/>
              </w:rPr>
              <w:t>Ποσοστό νικών</w:t>
            </w:r>
          </w:p>
        </w:tc>
        <w:tc>
          <w:tcPr>
            <w:tcW w:w="0" w:type="auto"/>
            <w:shd w:val="clear" w:color="auto" w:fill="D9EAF7"/>
            <w:vAlign w:val="center"/>
          </w:tcPr>
          <w:p w14:paraId="338A4941" w14:textId="77777777" w:rsidR="002B073E" w:rsidRDefault="00000000">
            <w:pPr>
              <w:pStyle w:val="Compact"/>
              <w:jc w:val="center"/>
            </w:pPr>
            <w:r>
              <w:rPr>
                <w:b/>
                <w:sz w:val="20"/>
              </w:rPr>
              <w:t>Ποσοστό ηττών</w:t>
            </w:r>
          </w:p>
        </w:tc>
      </w:tr>
      <w:tr w:rsidR="002B073E" w14:paraId="095B6650" w14:textId="77777777" w:rsidTr="002B073E">
        <w:trPr>
          <w:cantSplit/>
          <w:jc w:val="center"/>
        </w:trPr>
        <w:tc>
          <w:tcPr>
            <w:tcW w:w="0" w:type="auto"/>
            <w:vAlign w:val="center"/>
          </w:tcPr>
          <w:p w14:paraId="542C94B1" w14:textId="77777777" w:rsidR="002B073E" w:rsidRDefault="00000000">
            <w:pPr>
              <w:pStyle w:val="Compact"/>
              <w:jc w:val="left"/>
            </w:pPr>
            <w:r>
              <w:rPr>
                <w:sz w:val="20"/>
              </w:rPr>
              <w:t>Συγχώνευση με μέσο όρο</w:t>
            </w:r>
          </w:p>
        </w:tc>
        <w:tc>
          <w:tcPr>
            <w:tcW w:w="0" w:type="auto"/>
            <w:vAlign w:val="center"/>
          </w:tcPr>
          <w:p w14:paraId="4D511A8C" w14:textId="77777777" w:rsidR="002B073E" w:rsidRDefault="00000000">
            <w:pPr>
              <w:pStyle w:val="Compact"/>
              <w:jc w:val="center"/>
            </w:pPr>
            <w:r>
              <w:rPr>
                <w:sz w:val="20"/>
              </w:rPr>
              <w:t>924</w:t>
            </w:r>
          </w:p>
        </w:tc>
        <w:tc>
          <w:tcPr>
            <w:tcW w:w="0" w:type="auto"/>
            <w:vAlign w:val="center"/>
          </w:tcPr>
          <w:p w14:paraId="3B745B4E" w14:textId="77777777" w:rsidR="002B073E" w:rsidRDefault="00000000">
            <w:pPr>
              <w:pStyle w:val="Compact"/>
              <w:jc w:val="center"/>
            </w:pPr>
            <w:r>
              <w:rPr>
                <w:sz w:val="20"/>
              </w:rPr>
              <w:t>12</w:t>
            </w:r>
          </w:p>
        </w:tc>
        <w:tc>
          <w:tcPr>
            <w:tcW w:w="0" w:type="auto"/>
            <w:vAlign w:val="center"/>
          </w:tcPr>
          <w:p w14:paraId="79DF8F22" w14:textId="77777777" w:rsidR="002B073E" w:rsidRDefault="00000000">
            <w:pPr>
              <w:pStyle w:val="Compact"/>
              <w:jc w:val="center"/>
            </w:pPr>
            <w:r>
              <w:rPr>
                <w:sz w:val="20"/>
              </w:rPr>
              <w:t>64</w:t>
            </w:r>
          </w:p>
        </w:tc>
        <w:tc>
          <w:tcPr>
            <w:tcW w:w="0" w:type="auto"/>
            <w:vAlign w:val="center"/>
          </w:tcPr>
          <w:p w14:paraId="1082F65A" w14:textId="77777777" w:rsidR="002B073E" w:rsidRDefault="00000000">
            <w:pPr>
              <w:pStyle w:val="Compact"/>
              <w:jc w:val="center"/>
            </w:pPr>
            <w:r>
              <w:rPr>
                <w:sz w:val="20"/>
              </w:rPr>
              <w:t>92,4%</w:t>
            </w:r>
          </w:p>
        </w:tc>
        <w:tc>
          <w:tcPr>
            <w:tcW w:w="0" w:type="auto"/>
            <w:vAlign w:val="center"/>
          </w:tcPr>
          <w:p w14:paraId="0B319CDC" w14:textId="77777777" w:rsidR="002B073E" w:rsidRDefault="00000000">
            <w:pPr>
              <w:pStyle w:val="Compact"/>
              <w:jc w:val="center"/>
            </w:pPr>
            <w:r>
              <w:rPr>
                <w:sz w:val="20"/>
              </w:rPr>
              <w:t>1,2%</w:t>
            </w:r>
          </w:p>
        </w:tc>
      </w:tr>
      <w:tr w:rsidR="002B073E" w14:paraId="30963E79" w14:textId="77777777" w:rsidTr="002B073E">
        <w:trPr>
          <w:cantSplit/>
          <w:jc w:val="center"/>
        </w:trPr>
        <w:tc>
          <w:tcPr>
            <w:tcW w:w="0" w:type="auto"/>
            <w:shd w:val="clear" w:color="auto" w:fill="F5F8FA"/>
            <w:vAlign w:val="center"/>
          </w:tcPr>
          <w:p w14:paraId="1270BBFE" w14:textId="77777777" w:rsidR="002B073E" w:rsidRDefault="00000000">
            <w:pPr>
              <w:pStyle w:val="Compact"/>
              <w:jc w:val="left"/>
            </w:pPr>
            <w:r>
              <w:rPr>
                <w:sz w:val="20"/>
              </w:rPr>
              <w:t>Συγχώνευση με μέγιστη τιμή</w:t>
            </w:r>
          </w:p>
        </w:tc>
        <w:tc>
          <w:tcPr>
            <w:tcW w:w="0" w:type="auto"/>
            <w:shd w:val="clear" w:color="auto" w:fill="F5F8FA"/>
            <w:vAlign w:val="center"/>
          </w:tcPr>
          <w:p w14:paraId="09E8CA35" w14:textId="77777777" w:rsidR="002B073E" w:rsidRDefault="00000000">
            <w:pPr>
              <w:pStyle w:val="Compact"/>
              <w:jc w:val="center"/>
            </w:pPr>
            <w:r>
              <w:rPr>
                <w:sz w:val="20"/>
              </w:rPr>
              <w:t>912</w:t>
            </w:r>
          </w:p>
        </w:tc>
        <w:tc>
          <w:tcPr>
            <w:tcW w:w="0" w:type="auto"/>
            <w:shd w:val="clear" w:color="auto" w:fill="F5F8FA"/>
            <w:vAlign w:val="center"/>
          </w:tcPr>
          <w:p w14:paraId="42A1F8F1" w14:textId="77777777" w:rsidR="002B073E" w:rsidRDefault="00000000">
            <w:pPr>
              <w:pStyle w:val="Compact"/>
              <w:jc w:val="center"/>
            </w:pPr>
            <w:r>
              <w:rPr>
                <w:sz w:val="20"/>
              </w:rPr>
              <w:t>31</w:t>
            </w:r>
          </w:p>
        </w:tc>
        <w:tc>
          <w:tcPr>
            <w:tcW w:w="0" w:type="auto"/>
            <w:shd w:val="clear" w:color="auto" w:fill="F5F8FA"/>
            <w:vAlign w:val="center"/>
          </w:tcPr>
          <w:p w14:paraId="5AD81D66" w14:textId="77777777" w:rsidR="002B073E" w:rsidRDefault="00000000">
            <w:pPr>
              <w:pStyle w:val="Compact"/>
              <w:jc w:val="center"/>
            </w:pPr>
            <w:r>
              <w:rPr>
                <w:sz w:val="20"/>
              </w:rPr>
              <w:t>57</w:t>
            </w:r>
          </w:p>
        </w:tc>
        <w:tc>
          <w:tcPr>
            <w:tcW w:w="0" w:type="auto"/>
            <w:shd w:val="clear" w:color="auto" w:fill="F5F8FA"/>
            <w:vAlign w:val="center"/>
          </w:tcPr>
          <w:p w14:paraId="2FECC8D1" w14:textId="77777777" w:rsidR="002B073E" w:rsidRDefault="00000000">
            <w:pPr>
              <w:pStyle w:val="Compact"/>
              <w:jc w:val="center"/>
            </w:pPr>
            <w:r>
              <w:rPr>
                <w:sz w:val="20"/>
              </w:rPr>
              <w:t>91,2%</w:t>
            </w:r>
          </w:p>
        </w:tc>
        <w:tc>
          <w:tcPr>
            <w:tcW w:w="0" w:type="auto"/>
            <w:shd w:val="clear" w:color="auto" w:fill="F5F8FA"/>
            <w:vAlign w:val="center"/>
          </w:tcPr>
          <w:p w14:paraId="29E0CFF2" w14:textId="77777777" w:rsidR="002B073E" w:rsidRDefault="00000000">
            <w:pPr>
              <w:pStyle w:val="Compact"/>
              <w:jc w:val="center"/>
            </w:pPr>
            <w:r>
              <w:rPr>
                <w:sz w:val="20"/>
              </w:rPr>
              <w:t>3,1%</w:t>
            </w:r>
          </w:p>
        </w:tc>
      </w:tr>
      <w:tr w:rsidR="002B073E" w14:paraId="77BF8AFF" w14:textId="77777777" w:rsidTr="002B073E">
        <w:trPr>
          <w:cantSplit/>
          <w:jc w:val="center"/>
        </w:trPr>
        <w:tc>
          <w:tcPr>
            <w:tcW w:w="0" w:type="auto"/>
            <w:vAlign w:val="center"/>
          </w:tcPr>
          <w:p w14:paraId="0EE76D58" w14:textId="77777777" w:rsidR="002B073E" w:rsidRDefault="00000000">
            <w:pPr>
              <w:pStyle w:val="Compact"/>
              <w:jc w:val="left"/>
            </w:pPr>
            <w:r>
              <w:rPr>
                <w:sz w:val="20"/>
              </w:rPr>
              <w:t>Μέσος όρος μετά από fine-tuning</w:t>
            </w:r>
          </w:p>
        </w:tc>
        <w:tc>
          <w:tcPr>
            <w:tcW w:w="0" w:type="auto"/>
            <w:vAlign w:val="center"/>
          </w:tcPr>
          <w:p w14:paraId="5F5A8416" w14:textId="77777777" w:rsidR="002B073E" w:rsidRDefault="00000000">
            <w:pPr>
              <w:pStyle w:val="Compact"/>
              <w:jc w:val="center"/>
            </w:pPr>
            <w:r>
              <w:rPr>
                <w:sz w:val="20"/>
              </w:rPr>
              <w:t>939</w:t>
            </w:r>
          </w:p>
        </w:tc>
        <w:tc>
          <w:tcPr>
            <w:tcW w:w="0" w:type="auto"/>
            <w:vAlign w:val="center"/>
          </w:tcPr>
          <w:p w14:paraId="2E8A25E5" w14:textId="77777777" w:rsidR="002B073E" w:rsidRDefault="00000000">
            <w:pPr>
              <w:pStyle w:val="Compact"/>
              <w:jc w:val="center"/>
            </w:pPr>
            <w:r>
              <w:rPr>
                <w:sz w:val="20"/>
              </w:rPr>
              <w:t>5</w:t>
            </w:r>
          </w:p>
        </w:tc>
        <w:tc>
          <w:tcPr>
            <w:tcW w:w="0" w:type="auto"/>
            <w:vAlign w:val="center"/>
          </w:tcPr>
          <w:p w14:paraId="04DC9D3C" w14:textId="77777777" w:rsidR="002B073E" w:rsidRDefault="00000000">
            <w:pPr>
              <w:pStyle w:val="Compact"/>
              <w:jc w:val="center"/>
            </w:pPr>
            <w:r>
              <w:rPr>
                <w:sz w:val="20"/>
              </w:rPr>
              <w:t>56</w:t>
            </w:r>
          </w:p>
        </w:tc>
        <w:tc>
          <w:tcPr>
            <w:tcW w:w="0" w:type="auto"/>
            <w:vAlign w:val="center"/>
          </w:tcPr>
          <w:p w14:paraId="1E88AE83" w14:textId="77777777" w:rsidR="002B073E" w:rsidRDefault="00000000">
            <w:pPr>
              <w:pStyle w:val="Compact"/>
              <w:jc w:val="center"/>
            </w:pPr>
            <w:r>
              <w:rPr>
                <w:sz w:val="20"/>
              </w:rPr>
              <w:t>93,9%</w:t>
            </w:r>
          </w:p>
        </w:tc>
        <w:tc>
          <w:tcPr>
            <w:tcW w:w="0" w:type="auto"/>
            <w:vAlign w:val="center"/>
          </w:tcPr>
          <w:p w14:paraId="7C9B9567" w14:textId="77777777" w:rsidR="002B073E" w:rsidRDefault="00000000">
            <w:pPr>
              <w:pStyle w:val="Compact"/>
              <w:jc w:val="center"/>
            </w:pPr>
            <w:r>
              <w:rPr>
                <w:sz w:val="20"/>
              </w:rPr>
              <w:t>0,5%</w:t>
            </w:r>
          </w:p>
        </w:tc>
      </w:tr>
    </w:tbl>
    <w:p w14:paraId="0A445F23" w14:textId="77777777" w:rsidR="002B073E" w:rsidRDefault="00000000">
      <w:pPr>
        <w:pStyle w:val="a0"/>
      </w:pPr>
      <w:r>
        <w:t>Η συγχώνευση με μέσο όρο παρουσίασε καλύτερη απόδοση από τη συγχώνευση με μέγιστη τιμή. Συγκεκριμένα, ο πίνακας μέσου όρου πέτυχε 12 περισσότερες νίκες και 19 λιγότερες ήττες. Το loss rate μειώθηκε από 3,1% σε 1,2%, δηλαδή κατά 1,9 ποσοστιαίες μονάδες.</w:t>
      </w:r>
    </w:p>
    <w:p w14:paraId="7C0276FC" w14:textId="77777777" w:rsidR="002B073E" w:rsidRDefault="00000000">
      <w:pPr>
        <w:pStyle w:val="a0"/>
      </w:pPr>
      <w:r>
        <w:t>Η καλύτερη συνολική επίδοση προέκυψε μετά το fine-tuning. Ο fine-tuned agent πέτυχε 939 νίκες και μόνο 5 ήττες. Σε σχέση με τον αρχικό πίνακα μέσου όρου, το ποσοστό νικών αυξήθηκε κατά:</w:t>
      </w:r>
    </w:p>
    <w:p w14:paraId="059BA75F" w14:textId="77777777" w:rsidR="002B073E" w:rsidRDefault="00000000">
      <w:pPr>
        <w:pStyle w:val="a0"/>
        <w:spacing w:before="100" w:after="100"/>
        <w:jc w:val="center"/>
      </w:pPr>
      <m:oMathPara>
        <m:oMathParaPr>
          <m:jc m:val="center"/>
        </m:oMathParaPr>
        <m:oMath>
          <m:r>
            <w:rPr>
              <w:rFonts w:ascii="Cambria Math" w:hAnsi="Cambria Math"/>
            </w:rPr>
            <m:t>93</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92</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oMath>
      </m:oMathPara>
    </w:p>
    <w:p w14:paraId="3F70AADF" w14:textId="77777777" w:rsidR="002B073E" w:rsidRDefault="00000000">
      <w:pPr>
        <w:pStyle w:val="FirstParagraph"/>
      </w:pPr>
      <w:r>
        <w:t>ποσοστιαίες μονάδες, ενώ το ποσοστό ηττών μειώθηκε κατά:</w:t>
      </w:r>
    </w:p>
    <w:p w14:paraId="6058122A" w14:textId="77777777" w:rsidR="002B073E" w:rsidRDefault="00000000">
      <w:pPr>
        <w:pStyle w:val="a0"/>
        <w:spacing w:before="100" w:after="100"/>
        <w:jc w:val="center"/>
      </w:pPr>
      <m:oMathPara>
        <m:oMathParaPr>
          <m:jc m:val="center"/>
        </m:oMathParaPr>
        <m:oMath>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m:t>
          </m:r>
        </m:oMath>
      </m:oMathPara>
    </w:p>
    <w:p w14:paraId="2DBDB757" w14:textId="77777777" w:rsidR="002B073E" w:rsidRDefault="00000000">
      <w:pPr>
        <w:pStyle w:val="FirstParagraph"/>
      </w:pPr>
      <w:r>
        <w:t>ποσοστιαίες μονάδες.</w:t>
      </w:r>
    </w:p>
    <w:p w14:paraId="622F5587" w14:textId="77777777" w:rsidR="002B073E" w:rsidRDefault="00000000">
      <w:pPr>
        <w:pStyle w:val="a0"/>
      </w:pPr>
      <w:r>
        <w:t>Συνεπώς, η συγχώνευση με αριθμητικό μέσο όρο αποτελεί καλύτερη αρχική στρατηγική από τη συγχώνευση με μέγιστη τιμή. Επιπλέον, το πρόσθετο self-play fine-tuning επιτρέπει τη διόρθωση πιθανών ασυνεπειών και οδηγεί στην καλύτερη τελική πολιτική.</w:t>
      </w:r>
    </w:p>
    <w:p w14:paraId="4CF0FC7A" w14:textId="77777777" w:rsidR="002B073E" w:rsidRDefault="00000000">
      <w:pPr>
        <w:pStyle w:val="1"/>
        <w:pageBreakBefore/>
      </w:pPr>
      <w:bookmarkStart w:id="6" w:name="πρόσθετες-παρατηρήσεις"/>
      <w:bookmarkEnd w:id="0"/>
      <w:bookmarkEnd w:id="5"/>
      <w:r>
        <w:lastRenderedPageBreak/>
        <w:t>1.7 Πρόσθετες παρατηρήσεις</w:t>
      </w:r>
    </w:p>
    <w:p w14:paraId="5412A564" w14:textId="77777777" w:rsidR="002B073E" w:rsidRDefault="00000000">
      <w:pPr>
        <w:pStyle w:val="2"/>
      </w:pPr>
      <w:bookmarkStart w:id="7" w:name="επίδραση-του-ρυθμού-μάθησης"/>
      <w:r>
        <w:t>1.7.1 Επίδραση του ρυθμού μάθησης</w:t>
      </w:r>
    </w:p>
    <w:p w14:paraId="6A5FDBB2" w14:textId="77777777" w:rsidR="002B073E" w:rsidRDefault="00000000">
      <w:pPr>
        <w:pStyle w:val="FirstParagraph"/>
      </w:pPr>
      <w:r>
        <w:t xml:space="preserve">Ο ρυθμός μάθησης </w:t>
      </w:r>
      <m:oMath>
        <m:r>
          <w:rPr>
            <w:rFonts w:ascii="Cambria Math" w:hAnsi="Cambria Math"/>
          </w:rPr>
          <m:t>α</m:t>
        </m:r>
      </m:oMath>
      <w:r>
        <w:t xml:space="preserve"> καθορίζει πόσο έντονα επηρεάζεται μία παλιά Q-τιμή από τη νέα εμπειρία. Για τις περιπτώσεις εκπαίδευσης απέναντι σε σταθερό αντίπαλο, ο γενικός κανόνας ενημέρωσης είναι:</w:t>
      </w:r>
    </w:p>
    <w:p w14:paraId="7A7C2ADB" w14:textId="77777777" w:rsidR="002B073E" w:rsidRDefault="00000000">
      <w:pPr>
        <w:pStyle w:val="a0"/>
        <w:spacing w:before="100" w:after="100"/>
        <w:jc w:val="center"/>
      </w:pPr>
      <m:oMathPara>
        <m:oMathParaPr>
          <m:jc m:val="center"/>
        </m:oMathParaPr>
        <m:oMath>
          <m:r>
            <w:rPr>
              <w:rFonts w:ascii="Cambria Math" w:hAnsi="Cambria Math"/>
            </w:rPr>
            <m:t>Q</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Q</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α</m:t>
          </m:r>
          <m:d>
            <m:dPr>
              <m:begChr m:val="["/>
              <m:endChr m:val="]"/>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γ</m:t>
              </m:r>
              <m:limLow>
                <m:limLowPr>
                  <m:ctrlPr>
                    <w:rPr>
                      <w:rFonts w:ascii="Cambria Math" w:hAnsi="Cambria Math"/>
                    </w:rPr>
                  </m:ctrlPr>
                </m:limLowPr>
                <m:e>
                  <m:r>
                    <m:rPr>
                      <m:sty m:val="p"/>
                    </m:rPr>
                    <w:rPr>
                      <w:rFonts w:ascii="Cambria Math" w:hAnsi="Cambria Math"/>
                    </w:rPr>
                    <m:t>max</m:t>
                  </m:r>
                </m:e>
                <m:lim>
                  <m:r>
                    <w:rPr>
                      <w:rFonts w:ascii="Cambria Math" w:hAnsi="Cambria Math"/>
                    </w:rPr>
                    <m:t>a</m:t>
                  </m:r>
                  <m:r>
                    <m:rPr>
                      <m:sty m:val="p"/>
                    </m:rPr>
                    <w:rPr>
                      <w:rFonts w:ascii="Cambria Math" w:hAnsi="Cambria Math"/>
                    </w:rPr>
                    <m:t>'</m:t>
                  </m:r>
                </m:lim>
              </m:limLow>
              <m:r>
                <w:rPr>
                  <w:rFonts w:ascii="Cambria Math" w:hAnsi="Cambria Math"/>
                </w:rPr>
                <m:t>Q</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e>
              </m:d>
              <m:r>
                <m:rPr>
                  <m:sty m:val="p"/>
                </m:rPr>
                <w:rPr>
                  <w:rFonts w:ascii="Cambria Math" w:hAnsi="Cambria Math"/>
                </w:rPr>
                <m:t>-</m:t>
              </m:r>
              <m:r>
                <w:rPr>
                  <w:rFonts w:ascii="Cambria Math" w:hAnsi="Cambria Math"/>
                </w:rPr>
                <m:t>Q</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e>
          </m:d>
          <m:r>
            <m:rPr>
              <m:sty m:val="p"/>
            </m:rPr>
            <w:rPr>
              <w:rFonts w:ascii="Cambria Math" w:hAnsi="Cambria Math"/>
            </w:rPr>
            <m:t>.</m:t>
          </m:r>
        </m:oMath>
      </m:oMathPara>
    </w:p>
    <w:p w14:paraId="088502AE" w14:textId="77777777" w:rsidR="002B073E" w:rsidRDefault="00000000">
      <w:pPr>
        <w:pStyle w:val="FirstParagraph"/>
      </w:pPr>
      <w:r>
        <w:t>Στην παρούσα υλοποίηση χρησιμοποιήθηκε:</w:t>
      </w:r>
    </w:p>
    <w:p w14:paraId="71C48F12" w14:textId="77777777" w:rsidR="002B073E" w:rsidRDefault="00000000">
      <w:pPr>
        <w:pStyle w:val="a0"/>
        <w:spacing w:before="100" w:after="100"/>
        <w:jc w:val="center"/>
      </w:pPr>
      <m:oMathPara>
        <m:oMathParaPr>
          <m:jc m:val="center"/>
        </m:oMathParaPr>
        <m:oMath>
          <m:r>
            <w:rPr>
              <w:rFonts w:ascii="Cambria Math" w:hAnsi="Cambria Math"/>
            </w:rPr>
            <m:t>α</m:t>
          </m:r>
          <m:r>
            <m:rPr>
              <m:sty m:val="p"/>
            </m:rPr>
            <w:rPr>
              <w:rFonts w:ascii="Cambria Math" w:hAnsi="Cambria Math"/>
            </w:rPr>
            <m:t>=</m:t>
          </m:r>
          <m:r>
            <w:rPr>
              <w:rFonts w:ascii="Cambria Math" w:hAnsi="Cambria Math"/>
            </w:rPr>
            <m:t>0.1</m:t>
          </m:r>
          <m:r>
            <m:rPr>
              <m:sty m:val="p"/>
            </m:rPr>
            <w:rPr>
              <w:rFonts w:ascii="Cambria Math" w:hAnsi="Cambria Math"/>
            </w:rPr>
            <m:t>.</m:t>
          </m:r>
        </m:oMath>
      </m:oMathPara>
    </w:p>
    <w:p w14:paraId="1CB198C8" w14:textId="77777777" w:rsidR="002B073E" w:rsidRDefault="00000000">
      <w:pPr>
        <w:pStyle w:val="FirstParagraph"/>
      </w:pPr>
      <w:r>
        <w:t>Η σχετικά μικρή αυτή τιμή επιτρέπει σταδιακή και σταθερή ενημέρωση του πίνακα. Μία σημαντικά μεγαλύτερη τιμή θα οδηγούσε σε ταχύτερη προσαρμογή, αλλά θα μπορούσε να προκαλέσει έντονες διακυμάνσεις στις Q-τιμές, καθώς κάθε νέα εμπειρία θα αντικαθιστούσε μεγάλο μέρος της προηγούμενης γνώσης.</w:t>
      </w:r>
    </w:p>
    <w:p w14:paraId="643EF237" w14:textId="77777777" w:rsidR="002B073E" w:rsidRDefault="00000000">
      <w:pPr>
        <w:pStyle w:val="a0"/>
      </w:pPr>
      <w:r>
        <w:t xml:space="preserve">Αντίθετα, μία πολύ μικρή τιμή του </w:t>
      </w:r>
      <m:oMath>
        <m:r>
          <w:rPr>
            <w:rFonts w:ascii="Cambria Math" w:hAnsi="Cambria Math"/>
          </w:rPr>
          <m:t>α</m:t>
        </m:r>
      </m:oMath>
      <w:r>
        <w:t xml:space="preserve"> θα απαιτούσε περισσότερα επεισόδια, προκειμένου να διαδοθεί η πληροφορία της τελικής ανταμοιβής στις προηγούμενες κινήσεις. Επομένως, η τιμή 0,1 αποτελεί συμβιβασμό μεταξύ της ταχύτητας μάθησης και της σταθερότητας.</w:t>
      </w:r>
    </w:p>
    <w:p w14:paraId="5DDF25B5" w14:textId="77777777" w:rsidR="002B073E" w:rsidRDefault="00000000">
      <w:pPr>
        <w:pStyle w:val="a0"/>
      </w:pPr>
      <w:r>
        <w:t>Στο self-play χρησιμοποιείται adversarial backup, επειδή η επόμενη κατάσταση ανήκει στον αντίπαλο. Ο αντίστοιχος στόχος είναι:</w:t>
      </w:r>
    </w:p>
    <w:p w14:paraId="54B68903" w14:textId="77777777" w:rsidR="002B073E" w:rsidRDefault="00000000">
      <w:pPr>
        <w:pStyle w:val="a0"/>
        <w:spacing w:before="100" w:after="100"/>
        <w:jc w:val="center"/>
      </w:pPr>
      <m:oMathPara>
        <m:oMathParaPr>
          <m:jc m:val="center"/>
        </m:oMathParaPr>
        <m:oMath>
          <m:r>
            <m:rPr>
              <m:sty m:val="p"/>
            </m:rPr>
            <w:rPr>
              <w:rFonts w:ascii="Cambria Math" w:hAnsi="Cambria Math"/>
            </w:rPr>
            <m:t>target=</m:t>
          </m:r>
          <m:r>
            <w:rPr>
              <w:rFonts w:ascii="Cambria Math" w:hAnsi="Cambria Math"/>
            </w:rPr>
            <m:t>r</m:t>
          </m:r>
          <m:r>
            <m:rPr>
              <m:sty m:val="p"/>
            </m:rPr>
            <w:rPr>
              <w:rFonts w:ascii="Cambria Math" w:hAnsi="Cambria Math"/>
            </w:rPr>
            <m:t>-</m:t>
          </m:r>
          <m:r>
            <w:rPr>
              <w:rFonts w:ascii="Cambria Math" w:hAnsi="Cambria Math"/>
            </w:rPr>
            <m:t>γ</m:t>
          </m:r>
          <m:limLow>
            <m:limLowPr>
              <m:ctrlPr>
                <w:rPr>
                  <w:rFonts w:ascii="Cambria Math" w:hAnsi="Cambria Math"/>
                </w:rPr>
              </m:ctrlPr>
            </m:limLowPr>
            <m:e>
              <m:r>
                <m:rPr>
                  <m:sty m:val="p"/>
                </m:rPr>
                <w:rPr>
                  <w:rFonts w:ascii="Cambria Math" w:hAnsi="Cambria Math"/>
                </w:rPr>
                <m:t>max</m:t>
              </m:r>
            </m:e>
            <m:lim>
              <m:r>
                <w:rPr>
                  <w:rFonts w:ascii="Cambria Math" w:hAnsi="Cambria Math"/>
                </w:rPr>
                <m:t>a</m:t>
              </m:r>
              <m:r>
                <m:rPr>
                  <m:sty m:val="p"/>
                </m:rPr>
                <w:rPr>
                  <w:rFonts w:ascii="Cambria Math" w:hAnsi="Cambria Math"/>
                </w:rPr>
                <m:t>'</m:t>
              </m:r>
            </m:lim>
          </m:limLow>
          <m:r>
            <w:rPr>
              <w:rFonts w:ascii="Cambria Math" w:hAnsi="Cambria Math"/>
            </w:rPr>
            <m:t>Q</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e>
          </m:d>
          <m:r>
            <m:rPr>
              <m:sty m:val="p"/>
            </m:rPr>
            <w:rPr>
              <w:rFonts w:ascii="Cambria Math" w:hAnsi="Cambria Math"/>
            </w:rPr>
            <m:t>.</m:t>
          </m:r>
        </m:oMath>
      </m:oMathPara>
    </w:p>
    <w:p w14:paraId="79B32662" w14:textId="77777777" w:rsidR="002B073E" w:rsidRDefault="00000000">
      <w:pPr>
        <w:pStyle w:val="FirstParagraph"/>
      </w:pPr>
      <w:r>
        <w:t xml:space="preserve">Δεν πραγματοποιήθηκε ανεξάρτητο ablation experiment με διαφορετικές τιμές του </w:t>
      </w:r>
      <m:oMath>
        <m:r>
          <w:rPr>
            <w:rFonts w:ascii="Cambria Math" w:hAnsi="Cambria Math"/>
          </w:rPr>
          <m:t>α</m:t>
        </m:r>
      </m:oMath>
      <w:r>
        <w:t>. Συνεπώς, η συγκεκριμένη συζήτηση αφορά τη θεωρητικά αναμενόμενη επίδραση της παραμέτρου και όχι άμεση ποσοτική σύγκριση.</w:t>
      </w:r>
    </w:p>
    <w:p w14:paraId="68D465D3" w14:textId="77777777" w:rsidR="002B073E" w:rsidRDefault="00000000">
      <w:pPr>
        <w:pStyle w:val="2"/>
      </w:pPr>
      <w:bookmarkStart w:id="8" w:name="επίδραση-του-συντελεστή-προεξόφλησης"/>
      <w:bookmarkEnd w:id="7"/>
      <w:r>
        <w:t>1.7.2 Επίδραση του συντελεστή προεξόφλησης</w:t>
      </w:r>
    </w:p>
    <w:p w14:paraId="375342F8" w14:textId="77777777" w:rsidR="002B073E" w:rsidRDefault="00000000">
      <w:pPr>
        <w:pStyle w:val="FirstParagraph"/>
      </w:pPr>
      <w:r>
        <w:t xml:space="preserve">Ο συντελεστής προεξόφλησης </w:t>
      </w:r>
      <m:oMath>
        <m:r>
          <w:rPr>
            <w:rFonts w:ascii="Cambria Math" w:hAnsi="Cambria Math"/>
          </w:rPr>
          <m:t>γ</m:t>
        </m:r>
      </m:oMath>
      <w:r>
        <w:t xml:space="preserve"> καθορίζει τη σημασία των μελλοντικών ανταμοιβών. Στην υλοποίηση χρησιμοποιήθηκε:</w:t>
      </w:r>
    </w:p>
    <w:p w14:paraId="103CEC7A" w14:textId="77777777" w:rsidR="002B073E" w:rsidRDefault="00000000">
      <w:pPr>
        <w:pStyle w:val="a0"/>
        <w:spacing w:before="100" w:after="100"/>
        <w:jc w:val="center"/>
      </w:pPr>
      <m:oMathPara>
        <m:oMathParaPr>
          <m:jc m:val="center"/>
        </m:oMathParaPr>
        <m:oMath>
          <m:r>
            <w:rPr>
              <w:rFonts w:ascii="Cambria Math" w:hAnsi="Cambria Math"/>
            </w:rPr>
            <m:t>γ</m:t>
          </m:r>
          <m:r>
            <m:rPr>
              <m:sty m:val="p"/>
            </m:rPr>
            <w:rPr>
              <w:rFonts w:ascii="Cambria Math" w:hAnsi="Cambria Math"/>
            </w:rPr>
            <m:t>=</m:t>
          </m:r>
          <m:r>
            <w:rPr>
              <w:rFonts w:ascii="Cambria Math" w:hAnsi="Cambria Math"/>
            </w:rPr>
            <m:t>0.9</m:t>
          </m:r>
          <m:r>
            <m:rPr>
              <m:sty m:val="p"/>
            </m:rPr>
            <w:rPr>
              <w:rFonts w:ascii="Cambria Math" w:hAnsi="Cambria Math"/>
            </w:rPr>
            <m:t>.</m:t>
          </m:r>
        </m:oMath>
      </m:oMathPara>
    </w:p>
    <w:p w14:paraId="0C48C9A2" w14:textId="77777777" w:rsidR="002B073E" w:rsidRDefault="00000000">
      <w:pPr>
        <w:pStyle w:val="FirstParagraph"/>
      </w:pPr>
      <w:r>
        <w:t xml:space="preserve">Στο Tic-Tac-Toe οι ανταμοιβές αποδίδονται κυρίως στις τερματικές καταστάσεις. Απαιτείται, επομένως, σχετικά υψηλή τιμή του </w:t>
      </w:r>
      <m:oMath>
        <m:r>
          <w:rPr>
            <w:rFonts w:ascii="Cambria Math" w:hAnsi="Cambria Math"/>
          </w:rPr>
          <m:t>γ</m:t>
        </m:r>
      </m:oMath>
      <w:r>
        <w:t>, ώστε η πληροφορία μίας νίκης ή μίας ήττας να μεταφέρεται στις κινήσεις που προηγήθηκαν.</w:t>
      </w:r>
    </w:p>
    <w:p w14:paraId="5F6C0000" w14:textId="77777777" w:rsidR="002B073E" w:rsidRDefault="00000000">
      <w:pPr>
        <w:pStyle w:val="a0"/>
      </w:pPr>
      <w:r>
        <w:t xml:space="preserve">Μία χαμηλή τιμή του </w:t>
      </w:r>
      <m:oMath>
        <m:r>
          <w:rPr>
            <w:rFonts w:ascii="Cambria Math" w:hAnsi="Cambria Math"/>
          </w:rPr>
          <m:t>γ</m:t>
        </m:r>
      </m:oMath>
      <w:r>
        <w:t xml:space="preserve"> θα έκανε τον agent περισσότερο μυωπικό, επειδή θα υποτιμούσε ενέργειες που δεν προσφέρουν άμεση ανταμοιβή αλλά οδηγούν σε ευνοϊκό αποτέλεσμα μετά από αρκετούς γύρους. Αντίθετα, μία τιμή πολύ κοντά στη μονάδα θα αύξανε ακόμη περισσότερο τη σημασία των μακροπρόθεσμων ανταμοιβών, αλλά θα μπορούσε να επιβραδύνει τη σταθεροποίηση των Q-τιμών.</w:t>
      </w:r>
    </w:p>
    <w:p w14:paraId="4D48EA06" w14:textId="77777777" w:rsidR="002B073E" w:rsidRDefault="00000000">
      <w:pPr>
        <w:pStyle w:val="2"/>
      </w:pPr>
      <w:bookmarkStart w:id="9" w:name="επίδραση-της-εξερεύνησης"/>
      <w:bookmarkEnd w:id="8"/>
      <w:r>
        <w:lastRenderedPageBreak/>
        <w:t>1.7.3 Επίδραση της εξερεύνησης</w:t>
      </w:r>
    </w:p>
    <w:p w14:paraId="0146C2D9" w14:textId="77777777" w:rsidR="002B073E" w:rsidRDefault="00000000">
      <w:pPr>
        <w:pStyle w:val="FirstParagraph"/>
      </w:pPr>
      <w:r>
        <w:t xml:space="preserve">Η επιλογή των ενεργειών κατά την εκπαίδευση βασίζεται στην πολιτική </w:t>
      </w:r>
      <m:oMath>
        <m:r>
          <w:rPr>
            <w:rFonts w:ascii="Cambria Math" w:hAnsi="Cambria Math"/>
          </w:rPr>
          <m:t>ϵ</m:t>
        </m:r>
      </m:oMath>
      <w:r>
        <w:t>-greedy:</w:t>
      </w:r>
    </w:p>
    <w:p w14:paraId="12ADAA12" w14:textId="77777777" w:rsidR="002B073E" w:rsidRDefault="00000000">
      <w:pPr>
        <w:pStyle w:val="a0"/>
        <w:spacing w:before="100" w:after="100"/>
        <w:jc w:val="center"/>
      </w:pPr>
      <m:oMathPara>
        <m:oMathParaPr>
          <m:jc m:val="center"/>
        </m:oMathParaPr>
        <m:oMath>
          <m:r>
            <w:rPr>
              <w:rFonts w:ascii="Cambria Math" w:hAnsi="Cambria Math"/>
            </w:rPr>
            <m:t>a</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nor/>
                      </m:rPr>
                      <m:t>τυχαία νόμιμη ενέργεια</m:t>
                    </m:r>
                    <m:r>
                      <m:rPr>
                        <m:sty m:val="p"/>
                      </m:rPr>
                      <w:rPr>
                        <w:rFonts w:ascii="Cambria Math" w:hAnsi="Cambria Math"/>
                      </w:rPr>
                      <m:t>,</m:t>
                    </m:r>
                  </m:e>
                  <m:e>
                    <m:r>
                      <m:rPr>
                        <m:nor/>
                      </m:rPr>
                      <m:t xml:space="preserve">με πιθανότητα </m:t>
                    </m:r>
                    <m:r>
                      <w:rPr>
                        <w:rFonts w:ascii="Cambria Math" w:hAnsi="Cambria Math"/>
                      </w:rPr>
                      <m:t>ϵ</m:t>
                    </m:r>
                    <m:r>
                      <m:rPr>
                        <m:sty m:val="p"/>
                      </m:rPr>
                      <w:rPr>
                        <w:rFonts w:ascii="Cambria Math" w:hAnsi="Cambria Math"/>
                      </w:rPr>
                      <m:t>,</m:t>
                    </m:r>
                  </m:e>
                </m:mr>
                <m:mr>
                  <m:e>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legal</m:t>
                            </m:r>
                          </m:sub>
                        </m:sSub>
                        <m:d>
                          <m:dPr>
                            <m:ctrlPr>
                              <w:rPr>
                                <w:rFonts w:ascii="Cambria Math" w:hAnsi="Cambria Math"/>
                              </w:rPr>
                            </m:ctrlPr>
                          </m:dPr>
                          <m:e>
                            <m:r>
                              <w:rPr>
                                <w:rFonts w:ascii="Cambria Math" w:hAnsi="Cambria Math"/>
                              </w:rPr>
                              <m:t>s</m:t>
                            </m:r>
                          </m:e>
                        </m:d>
                      </m:lim>
                    </m:limLow>
                    <m:r>
                      <w:rPr>
                        <w:rFonts w:ascii="Cambria Math" w:hAnsi="Cambria Math"/>
                      </w:rPr>
                      <m:t>Q</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e>
                    </m:d>
                    <m:r>
                      <m:rPr>
                        <m:sty m:val="p"/>
                      </m:rPr>
                      <w:rPr>
                        <w:rFonts w:ascii="Cambria Math" w:hAnsi="Cambria Math"/>
                      </w:rPr>
                      <m:t>,</m:t>
                    </m:r>
                  </m:e>
                  <m:e>
                    <m:r>
                      <m:rPr>
                        <m:nor/>
                      </m:rPr>
                      <m:t xml:space="preserve">με πιθανότητα </m:t>
                    </m:r>
                    <m:r>
                      <w:rPr>
                        <w:rFonts w:ascii="Cambria Math" w:hAnsi="Cambria Math"/>
                      </w:rPr>
                      <m:t>1</m:t>
                    </m:r>
                    <m:r>
                      <m:rPr>
                        <m:sty m:val="p"/>
                      </m:rPr>
                      <w:rPr>
                        <w:rFonts w:ascii="Cambria Math" w:hAnsi="Cambria Math"/>
                      </w:rPr>
                      <m:t>-</m:t>
                    </m:r>
                    <m:r>
                      <w:rPr>
                        <w:rFonts w:ascii="Cambria Math" w:hAnsi="Cambria Math"/>
                      </w:rPr>
                      <m:t>ϵ</m:t>
                    </m:r>
                    <m:r>
                      <m:rPr>
                        <m:sty m:val="p"/>
                      </m:rPr>
                      <w:rPr>
                        <w:rFonts w:ascii="Cambria Math" w:hAnsi="Cambria Math"/>
                      </w:rPr>
                      <m:t>.</m:t>
                    </m:r>
                  </m:e>
                </m:mr>
              </m:m>
            </m:e>
          </m:d>
        </m:oMath>
      </m:oMathPara>
    </w:p>
    <w:p w14:paraId="2B62209A" w14:textId="77777777" w:rsidR="002B073E" w:rsidRDefault="00000000">
      <w:pPr>
        <w:pStyle w:val="FirstParagraph"/>
      </w:pPr>
      <w:r>
        <w:t xml:space="preserve">Η τιμή του </w:t>
      </w:r>
      <m:oMath>
        <m:r>
          <w:rPr>
            <w:rFonts w:ascii="Cambria Math" w:hAnsi="Cambria Math"/>
          </w:rPr>
          <m:t>ϵ</m:t>
        </m:r>
      </m:oMath>
      <w:r>
        <w:t xml:space="preserve"> μειώνεται γραμμικά από:</w:t>
      </w:r>
    </w:p>
    <w:p w14:paraId="6E896B6D" w14:textId="77777777" w:rsidR="002B073E" w:rsidRDefault="00000000">
      <w:pPr>
        <w:pStyle w:val="a0"/>
        <w:spacing w:before="100" w:after="100"/>
        <w:jc w:val="center"/>
      </w:pPr>
      <m:oMathPara>
        <m:oMathParaPr>
          <m:jc m:val="center"/>
        </m:oMathParaPr>
        <m:oMath>
          <m:sSub>
            <m:sSubPr>
              <m:ctrlPr>
                <w:rPr>
                  <w:rFonts w:ascii="Cambria Math" w:hAnsi="Cambria Math"/>
                </w:rPr>
              </m:ctrlPr>
            </m:sSubPr>
            <m:e>
              <m:r>
                <w:rPr>
                  <w:rFonts w:ascii="Cambria Math" w:hAnsi="Cambria Math"/>
                </w:rPr>
                <m:t>ϵ</m:t>
              </m:r>
            </m:e>
            <m:sub>
              <m:r>
                <m:rPr>
                  <m:sty m:val="p"/>
                </m:rPr>
                <w:rPr>
                  <w:rFonts w:ascii="Cambria Math" w:hAnsi="Cambria Math"/>
                </w:rPr>
                <m:t>start</m:t>
              </m:r>
            </m:sub>
          </m:sSub>
          <m:r>
            <m:rPr>
              <m:sty m:val="p"/>
            </m:rPr>
            <w:rPr>
              <w:rFonts w:ascii="Cambria Math" w:hAnsi="Cambria Math"/>
            </w:rPr>
            <m:t>=</m:t>
          </m:r>
          <m:r>
            <w:rPr>
              <w:rFonts w:ascii="Cambria Math" w:hAnsi="Cambria Math"/>
            </w:rPr>
            <m:t>1.0</m:t>
          </m:r>
        </m:oMath>
      </m:oMathPara>
    </w:p>
    <w:p w14:paraId="28EB34FD" w14:textId="77777777" w:rsidR="002B073E" w:rsidRDefault="00000000">
      <w:pPr>
        <w:pStyle w:val="FirstParagraph"/>
      </w:pPr>
      <w:r>
        <w:t>σε:</w:t>
      </w:r>
    </w:p>
    <w:p w14:paraId="625C9DDB" w14:textId="77777777" w:rsidR="002B073E" w:rsidRDefault="00000000">
      <w:pPr>
        <w:pStyle w:val="a0"/>
        <w:spacing w:before="100" w:after="100"/>
        <w:jc w:val="center"/>
      </w:pPr>
      <m:oMathPara>
        <m:oMathParaPr>
          <m:jc m:val="center"/>
        </m:oMathParaPr>
        <m:oMath>
          <m:sSub>
            <m:sSubPr>
              <m:ctrlPr>
                <w:rPr>
                  <w:rFonts w:ascii="Cambria Math" w:hAnsi="Cambria Math"/>
                </w:rPr>
              </m:ctrlPr>
            </m:sSubPr>
            <m:e>
              <m:r>
                <w:rPr>
                  <w:rFonts w:ascii="Cambria Math" w:hAnsi="Cambria Math"/>
                </w:rPr>
                <m:t>ϵ</m:t>
              </m:r>
            </m:e>
            <m:sub>
              <m:r>
                <m:rPr>
                  <m:sty m:val="p"/>
                </m:rPr>
                <w:rPr>
                  <w:rFonts w:ascii="Cambria Math" w:hAnsi="Cambria Math"/>
                </w:rPr>
                <m:t>end</m:t>
              </m:r>
            </m:sub>
          </m:sSub>
          <m:r>
            <m:rPr>
              <m:sty m:val="p"/>
            </m:rPr>
            <w:rPr>
              <w:rFonts w:ascii="Cambria Math" w:hAnsi="Cambria Math"/>
            </w:rPr>
            <m:t>=</m:t>
          </m:r>
          <m:r>
            <w:rPr>
              <w:rFonts w:ascii="Cambria Math" w:hAnsi="Cambria Math"/>
            </w:rPr>
            <m:t>0.1</m:t>
          </m:r>
          <m:r>
            <m:rPr>
              <m:sty m:val="p"/>
            </m:rPr>
            <w:rPr>
              <w:rFonts w:ascii="Cambria Math" w:hAnsi="Cambria Math"/>
            </w:rPr>
            <m:t>.</m:t>
          </m:r>
        </m:oMath>
      </m:oMathPara>
    </w:p>
    <w:p w14:paraId="1620D37F" w14:textId="77777777" w:rsidR="002B073E" w:rsidRDefault="00000000">
      <w:pPr>
        <w:pStyle w:val="FirstParagraph"/>
      </w:pPr>
      <w:r>
        <w:t>Η γραμμική μείωση περιγράφεται από:</w:t>
      </w:r>
    </w:p>
    <w:p w14:paraId="045E690F" w14:textId="77777777" w:rsidR="002B073E" w:rsidRDefault="00000000">
      <w:pPr>
        <w:pStyle w:val="a0"/>
        <w:spacing w:before="100" w:after="100"/>
        <w:jc w:val="center"/>
      </w:pPr>
      <m:oMathPara>
        <m:oMathParaPr>
          <m:jc m:val="center"/>
        </m:oMathParaPr>
        <m:oMath>
          <m:sSub>
            <m:sSubPr>
              <m:ctrlPr>
                <w:rPr>
                  <w:rFonts w:ascii="Cambria Math" w:hAnsi="Cambria Math"/>
                </w:rPr>
              </m:ctrlPr>
            </m:sSubPr>
            <m:e>
              <m:r>
                <w:rPr>
                  <w:rFonts w:ascii="Cambria Math" w:hAnsi="Cambria Math"/>
                </w:rPr>
                <m:t>ϵ</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m:rPr>
                  <m:sty m:val="p"/>
                </m:rPr>
                <w:rPr>
                  <w:rFonts w:ascii="Cambria Math" w:hAnsi="Cambria Math"/>
                </w:rPr>
                <m:t>start</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ϵ</m:t>
                  </m:r>
                </m:e>
                <m:sub>
                  <m:r>
                    <m:rPr>
                      <m:sty m:val="p"/>
                    </m:rPr>
                    <w:rPr>
                      <w:rFonts w:ascii="Cambria Math" w:hAnsi="Cambria Math"/>
                    </w:rPr>
                    <m:t>start</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m:rPr>
                      <m:sty m:val="p"/>
                    </m:rPr>
                    <w:rPr>
                      <w:rFonts w:ascii="Cambria Math" w:hAnsi="Cambria Math"/>
                    </w:rPr>
                    <m:t>end</m:t>
                  </m:r>
                </m:sub>
              </m:sSub>
            </m:e>
          </m:d>
          <m:f>
            <m:fPr>
              <m:ctrlPr>
                <w:rPr>
                  <w:rFonts w:ascii="Cambria Math" w:hAnsi="Cambria Math"/>
                </w:rPr>
              </m:ctrlPr>
            </m:fPr>
            <m:num>
              <m:r>
                <w:rPr>
                  <w:rFonts w:ascii="Cambria Math" w:hAnsi="Cambria Math"/>
                </w:rPr>
                <m:t>t</m:t>
              </m:r>
            </m:num>
            <m:den>
              <m:sSub>
                <m:sSubPr>
                  <m:ctrlPr>
                    <w:rPr>
                      <w:rFonts w:ascii="Cambria Math" w:hAnsi="Cambria Math"/>
                    </w:rPr>
                  </m:ctrlPr>
                </m:sSubPr>
                <m:e>
                  <m:r>
                    <w:rPr>
                      <w:rFonts w:ascii="Cambria Math" w:hAnsi="Cambria Math"/>
                    </w:rPr>
                    <m:t>T</m:t>
                  </m:r>
                </m:e>
                <m:sub>
                  <m:r>
                    <m:rPr>
                      <m:sty m:val="p"/>
                    </m:rPr>
                    <w:rPr>
                      <w:rFonts w:ascii="Cambria Math" w:hAnsi="Cambria Math"/>
                    </w:rPr>
                    <m:t>decay</m:t>
                  </m:r>
                </m:sub>
              </m:sSub>
            </m:den>
          </m:f>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t</m:t>
          </m:r>
          <m:r>
            <m:rPr>
              <m:sty m:val="p"/>
            </m:rPr>
            <w:rPr>
              <w:rFonts w:ascii="Cambria Math" w:hAnsi="Cambria Math"/>
            </w:rPr>
            <m:t>&lt;</m:t>
          </m:r>
          <m:sSub>
            <m:sSubPr>
              <m:ctrlPr>
                <w:rPr>
                  <w:rFonts w:ascii="Cambria Math" w:hAnsi="Cambria Math"/>
                </w:rPr>
              </m:ctrlPr>
            </m:sSubPr>
            <m:e>
              <m:r>
                <w:rPr>
                  <w:rFonts w:ascii="Cambria Math" w:hAnsi="Cambria Math"/>
                </w:rPr>
                <m:t>T</m:t>
              </m:r>
            </m:e>
            <m:sub>
              <m:r>
                <m:rPr>
                  <m:sty m:val="p"/>
                </m:rPr>
                <w:rPr>
                  <w:rFonts w:ascii="Cambria Math" w:hAnsi="Cambria Math"/>
                </w:rPr>
                <m:t>decay</m:t>
              </m:r>
            </m:sub>
          </m:sSub>
          <m:r>
            <m:rPr>
              <m:sty m:val="p"/>
            </m:rPr>
            <w:rPr>
              <w:rFonts w:ascii="Cambria Math" w:hAnsi="Cambria Math"/>
            </w:rPr>
            <m:t>.</m:t>
          </m:r>
        </m:oMath>
      </m:oMathPara>
    </w:p>
    <w:p w14:paraId="34F12796" w14:textId="77777777" w:rsidR="002B073E" w:rsidRDefault="00000000">
      <w:pPr>
        <w:pStyle w:val="FirstParagraph"/>
      </w:pPr>
      <w:r>
        <w:t xml:space="preserve">Για </w:t>
      </w:r>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decay</m:t>
            </m:r>
          </m:sub>
        </m:sSub>
      </m:oMath>
      <w:r>
        <w:t xml:space="preserve"> χρησιμοποιείται:</w:t>
      </w:r>
    </w:p>
    <w:p w14:paraId="228875BE" w14:textId="77777777" w:rsidR="002B073E" w:rsidRDefault="00000000">
      <w:pPr>
        <w:pStyle w:val="a0"/>
        <w:spacing w:before="100" w:after="100"/>
        <w:jc w:val="center"/>
      </w:pPr>
      <m:oMathPara>
        <m:oMathParaPr>
          <m:jc m:val="center"/>
        </m:oMathParaPr>
        <m:oMath>
          <m:sSub>
            <m:sSubPr>
              <m:ctrlPr>
                <w:rPr>
                  <w:rFonts w:ascii="Cambria Math" w:hAnsi="Cambria Math"/>
                </w:rPr>
              </m:ctrlPr>
            </m:sSubPr>
            <m:e>
              <m:r>
                <w:rPr>
                  <w:rFonts w:ascii="Cambria Math" w:hAnsi="Cambria Math"/>
                </w:rPr>
                <m:t>ϵ</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m:rPr>
                  <m:sty m:val="p"/>
                </m:rPr>
                <w:rPr>
                  <w:rFonts w:ascii="Cambria Math" w:hAnsi="Cambria Math"/>
                </w:rPr>
                <m:t>end</m:t>
              </m:r>
            </m:sub>
          </m:sSub>
          <m:r>
            <m:rPr>
              <m:sty m:val="p"/>
            </m:rPr>
            <w:rPr>
              <w:rFonts w:ascii="Cambria Math" w:hAnsi="Cambria Math"/>
            </w:rPr>
            <m:t>.</m:t>
          </m:r>
        </m:oMath>
      </m:oMathPara>
    </w:p>
    <w:p w14:paraId="6819C21A" w14:textId="77777777" w:rsidR="002B073E" w:rsidRDefault="00000000">
      <w:pPr>
        <w:pStyle w:val="FirstParagraph"/>
      </w:pPr>
      <w:r>
        <w:t>Η μείωση ολοκληρώνεται στο πρώτο μισό των επεισοδίων εκπαίδευσης. Στην αρχή, ο agent πραγματοποιεί πολλές τυχαίες κινήσεις και εξερευνά μεγάλο μέρος του χώρου καταστάσεων. Καθώς η εκπαίδευση προχωρά, βασίζεται περισσότερο στις ήδη μαθημένες Q-τιμές.</w:t>
      </w:r>
    </w:p>
    <w:p w14:paraId="3F38559C" w14:textId="77777777" w:rsidR="002B073E" w:rsidRDefault="00000000">
      <w:pPr>
        <w:pStyle w:val="a0"/>
      </w:pPr>
      <w:r>
        <w:t xml:space="preserve">Αν το </w:t>
      </w:r>
      <m:oMath>
        <m:r>
          <w:rPr>
            <w:rFonts w:ascii="Cambria Math" w:hAnsi="Cambria Math"/>
          </w:rPr>
          <m:t>ϵ</m:t>
        </m:r>
      </m:oMath>
      <w:r>
        <w:t xml:space="preserve"> ήταν πολύ μικρό από την αρχή, ο agent θα μπορούσε να εγκλωβιστεί πρόωρα σε μία ανεπαρκή πολιτική. Αν παρέμενε πολύ υψηλό μέχρι το τέλος, η συμπεριφορά του θα εξακολουθούσε να χαρακτηρίζεται από έντονη τυχαιότητα.</w:t>
      </w:r>
    </w:p>
    <w:p w14:paraId="6F39064E" w14:textId="77777777" w:rsidR="002B073E" w:rsidRDefault="00000000">
      <w:pPr>
        <w:pStyle w:val="a0"/>
      </w:pPr>
      <w:r>
        <w:t>Κατά την αξιολόγηση χρησιμοποιείται:</w:t>
      </w:r>
    </w:p>
    <w:p w14:paraId="79B3C6DC" w14:textId="77777777" w:rsidR="002B073E" w:rsidRDefault="00000000">
      <w:pPr>
        <w:pStyle w:val="a0"/>
        <w:spacing w:before="100" w:after="100"/>
        <w:jc w:val="center"/>
      </w:pPr>
      <m:oMathPara>
        <m:oMathParaPr>
          <m:jc m:val="center"/>
        </m:oMathParaPr>
        <m:oMath>
          <m:sSub>
            <m:sSubPr>
              <m:ctrlPr>
                <w:rPr>
                  <w:rFonts w:ascii="Cambria Math" w:hAnsi="Cambria Math"/>
                </w:rPr>
              </m:ctrlPr>
            </m:sSubPr>
            <m:e>
              <m:r>
                <w:rPr>
                  <w:rFonts w:ascii="Cambria Math" w:hAnsi="Cambria Math"/>
                </w:rPr>
                <m:t>ϵ</m:t>
              </m:r>
            </m:e>
            <m:sub>
              <m:r>
                <m:rPr>
                  <m:sty m:val="p"/>
                </m:rPr>
                <w:rPr>
                  <w:rFonts w:ascii="Cambria Math" w:hAnsi="Cambria Math"/>
                </w:rPr>
                <m:t>evaluation</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p w14:paraId="00E0CEC0" w14:textId="77777777" w:rsidR="002B073E" w:rsidRDefault="00000000">
      <w:pPr>
        <w:pStyle w:val="FirstParagraph"/>
      </w:pPr>
      <w:r>
        <w:t>ώστε να εξετάζεται αποκλειστικά η μαθημένη πολιτική.</w:t>
      </w:r>
    </w:p>
    <w:p w14:paraId="4B6853B9" w14:textId="77777777" w:rsidR="002B073E" w:rsidRDefault="00000000">
      <w:pPr>
        <w:pStyle w:val="2"/>
      </w:pPr>
      <w:bookmarkStart w:id="10" w:name="μερικώς-παρατηρήσιμο-περιβάλλον"/>
      <w:bookmarkEnd w:id="9"/>
      <w:r>
        <w:t>1.7.4 Μερικώς παρατηρήσιμο περιβάλλον</w:t>
      </w:r>
    </w:p>
    <w:p w14:paraId="7C60ADFB" w14:textId="77777777" w:rsidR="002B073E" w:rsidRDefault="00000000">
      <w:pPr>
        <w:pStyle w:val="FirstParagraph"/>
      </w:pPr>
      <w:r>
        <w:t>Στην παρούσα μορφή του παιχνιδιού, ο agent γνωρίζει ολόκληρο το ταμπλό και τη σειρά του παίκτη. Το περιβάλλον είναι, επομένως, πλήρως παρατηρήσιμο.</w:t>
      </w:r>
    </w:p>
    <w:p w14:paraId="23FF7052" w14:textId="77777777" w:rsidR="002B073E" w:rsidRDefault="00000000">
      <w:pPr>
        <w:pStyle w:val="a0"/>
      </w:pPr>
      <w:r>
        <w:t>Αν ορισμένα κελιά αποκρύπτονταν ή οι παρατηρήσεις περιείχαν θόρυβο, το τρέχον ταμπλό δεν θα αρκούσε για την πλήρη περιγραφή της κατάστασης. Το πρόβλημα θα μετατρεπόταν σε μερικώς παρατηρήσιμη διαδικασία αποφάσεων. Σε αυτή την περίπτωση, η αναπαράσταση του state θα μπορούσε να επεκταθεί ώστε να περιλαμβάνει:</w:t>
      </w:r>
    </w:p>
    <w:p w14:paraId="1984B044" w14:textId="77777777" w:rsidR="002B073E" w:rsidRDefault="00000000">
      <w:pPr>
        <w:pStyle w:val="Compact"/>
        <w:numPr>
          <w:ilvl w:val="0"/>
          <w:numId w:val="3"/>
        </w:numPr>
      </w:pPr>
      <w:r>
        <w:t>προηγούμενες παρατηρήσεις,</w:t>
      </w:r>
    </w:p>
    <w:p w14:paraId="126AD634" w14:textId="77777777" w:rsidR="002B073E" w:rsidRDefault="00000000">
      <w:pPr>
        <w:pStyle w:val="Compact"/>
        <w:numPr>
          <w:ilvl w:val="0"/>
          <w:numId w:val="3"/>
        </w:numPr>
      </w:pPr>
      <w:r>
        <w:t>προηγούμενες ενέργειες,</w:t>
      </w:r>
    </w:p>
    <w:p w14:paraId="27A856E5" w14:textId="77777777" w:rsidR="002B073E" w:rsidRDefault="00000000">
      <w:pPr>
        <w:pStyle w:val="Compact"/>
        <w:numPr>
          <w:ilvl w:val="0"/>
          <w:numId w:val="3"/>
        </w:numPr>
      </w:pPr>
      <w:r>
        <w:t>πιθανότητες για τις πραγματικές τιμές των κρυφών κελιών,</w:t>
      </w:r>
    </w:p>
    <w:p w14:paraId="001A460B" w14:textId="77777777" w:rsidR="002B073E" w:rsidRDefault="00000000">
      <w:pPr>
        <w:pStyle w:val="Compact"/>
        <w:numPr>
          <w:ilvl w:val="0"/>
          <w:numId w:val="3"/>
        </w:numPr>
      </w:pPr>
      <w:r>
        <w:lastRenderedPageBreak/>
        <w:t>μία belief-state αναπαράσταση.</w:t>
      </w:r>
    </w:p>
    <w:p w14:paraId="0AFDC5FA" w14:textId="77777777" w:rsidR="002B073E" w:rsidRDefault="00000000">
      <w:pPr>
        <w:pStyle w:val="FirstParagraph"/>
      </w:pPr>
      <w:r>
        <w:t>Η tabular προσέγγιση θα γινόταν σημαντικά πιο απαιτητική, επειδή διαφορετικά ιστορικά παρατηρήσεων θα έπρεπε να αντιμετωπίζονται ως διαφορετικές καταστάσεις. Μία καταλληλότερη λύση θα μπορούσε να βασίζεται σε recurrent νευρωνικά δίκτυα, όπως LSTM ή GRU, τα οποία μπορούν να διατηρούν πληροφορία από προηγούμενα χρονικά βήματα.</w:t>
      </w:r>
    </w:p>
    <w:p w14:paraId="44A0C138" w14:textId="77777777" w:rsidR="002B073E" w:rsidRDefault="00000000">
      <w:pPr>
        <w:pStyle w:val="2"/>
      </w:pPr>
      <w:bookmarkStart w:id="11" w:name="στοχαστικές-μεταβάσεις"/>
      <w:bookmarkEnd w:id="10"/>
      <w:r>
        <w:t>1.7.5 Στοχαστικές μεταβάσεις</w:t>
      </w:r>
    </w:p>
    <w:p w14:paraId="66214870" w14:textId="77777777" w:rsidR="002B073E" w:rsidRDefault="00000000">
      <w:pPr>
        <w:pStyle w:val="FirstParagraph"/>
      </w:pPr>
      <w:r>
        <w:t>Η υπάρχουσα υλοποίηση είναι ντετερμινιστική. Κάθε νόμιμη ενέργεια οδηγεί πάντοτε στην ίδια επόμενη κατάσταση. Σε μία στοχαστική επέκταση, η ίδια ενέργεια θα μπορούσε να έχει διαφορετικό αποτέλεσμα. Η στοχαστική μετάβαση περιγράφεται από την πιθανότητα:</w:t>
      </w:r>
    </w:p>
    <w:p w14:paraId="25E4F011" w14:textId="77777777" w:rsidR="002B073E" w:rsidRDefault="00000000">
      <w:pPr>
        <w:pStyle w:val="a0"/>
        <w:spacing w:before="100" w:after="100"/>
        <w:jc w:val="center"/>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e>
          </m:d>
          <m:r>
            <m:rPr>
              <m:sty m:val="p"/>
            </m:rPr>
            <w:rPr>
              <w:rFonts w:ascii="Cambria Math" w:hAnsi="Cambria Math"/>
            </w:rPr>
            <m:t>.</m:t>
          </m:r>
        </m:oMath>
      </m:oMathPara>
    </w:p>
    <w:p w14:paraId="5ADA8DEC" w14:textId="77777777" w:rsidR="002B073E" w:rsidRDefault="00000000">
      <w:pPr>
        <w:pStyle w:val="FirstParagraph"/>
      </w:pPr>
      <w:r>
        <w:t>Το Q-learning μπορεί να χρησιμοποιηθεί και σε ένα τέτοιο περιβάλλον, επειδή οι επαναλαμβανόμενες ενημερώσεις προσεγγίζουν την αναμενόμενη αξία της ενέργειας:</w:t>
      </w:r>
    </w:p>
    <w:p w14:paraId="0D837718" w14:textId="77777777" w:rsidR="002B073E" w:rsidRDefault="00000000">
      <w:pPr>
        <w:pStyle w:val="a0"/>
        <w:spacing w:before="100" w:after="100"/>
        <w:jc w:val="center"/>
      </w:pPr>
      <m:oMathPara>
        <m:oMathParaPr>
          <m:jc m:val="center"/>
        </m:oMathParaPr>
        <m:oMath>
          <m:r>
            <w:rPr>
              <w:rFonts w:ascii="Cambria Math" w:hAnsi="Cambria Math"/>
            </w:rPr>
            <m:t>Q</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γ</m:t>
              </m:r>
              <m:limLow>
                <m:limLowPr>
                  <m:ctrlPr>
                    <w:rPr>
                      <w:rFonts w:ascii="Cambria Math" w:hAnsi="Cambria Math"/>
                    </w:rPr>
                  </m:ctrlPr>
                </m:limLowPr>
                <m:e>
                  <m:r>
                    <m:rPr>
                      <m:sty m:val="p"/>
                    </m:rPr>
                    <w:rPr>
                      <w:rFonts w:ascii="Cambria Math" w:hAnsi="Cambria Math"/>
                    </w:rPr>
                    <m:t>max</m:t>
                  </m:r>
                </m:e>
                <m:lim>
                  <m:r>
                    <w:rPr>
                      <w:rFonts w:ascii="Cambria Math" w:hAnsi="Cambria Math"/>
                    </w:rPr>
                    <m:t>a</m:t>
                  </m:r>
                  <m:r>
                    <m:rPr>
                      <m:sty m:val="p"/>
                    </m:rPr>
                    <w:rPr>
                      <w:rFonts w:ascii="Cambria Math" w:hAnsi="Cambria Math"/>
                    </w:rPr>
                    <m:t>'</m:t>
                  </m:r>
                </m:lim>
              </m:limLow>
              <m:r>
                <w:rPr>
                  <w:rFonts w:ascii="Cambria Math" w:hAnsi="Cambria Math"/>
                </w:rPr>
                <m:t>Q</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e>
              </m:d>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e>
          </m:d>
          <m:r>
            <m:rPr>
              <m:sty m:val="p"/>
            </m:rPr>
            <w:rPr>
              <w:rFonts w:ascii="Cambria Math" w:hAnsi="Cambria Math"/>
            </w:rPr>
            <m:t>.</m:t>
          </m:r>
        </m:oMath>
      </m:oMathPara>
    </w:p>
    <w:p w14:paraId="077C9DD4" w14:textId="77777777" w:rsidR="002B073E" w:rsidRDefault="00000000">
      <w:pPr>
        <w:pStyle w:val="FirstParagraph"/>
      </w:pPr>
      <w:r>
        <w:t xml:space="preserve">Ωστόσο, θα απαιτούνταν σημαντικά περισσότερες επισκέψεις σε κάθε ζεύγος </w:t>
      </w:r>
      <m:oMath>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oMath>
      <w:r>
        <w:t>, ώστε να εκτιμηθεί αξιόπιστα η μέση ανταμοιβή και η κατανομή των πιθανών επόμενων καταστάσεων.</w:t>
      </w:r>
    </w:p>
    <w:p w14:paraId="52BF73C7" w14:textId="77777777" w:rsidR="002B073E" w:rsidRDefault="00000000">
      <w:pPr>
        <w:pStyle w:val="2"/>
      </w:pPr>
      <w:bookmarkStart w:id="12" w:name="Xfbdb0c71903fb8cb11d6c7ce787222afe9be93b"/>
      <w:bookmarkEnd w:id="11"/>
      <w:r>
        <w:t>1.7.6 Μεγαλύτερα ταμπλό και υπολογιστική πολυπλοκότητα</w:t>
      </w:r>
    </w:p>
    <w:p w14:paraId="15C9881D" w14:textId="77777777" w:rsidR="002B073E" w:rsidRDefault="00000000">
      <w:pPr>
        <w:pStyle w:val="FirstParagraph"/>
      </w:pPr>
      <w:r>
        <w:t xml:space="preserve">Για ένα ταμπλό </w:t>
      </w:r>
      <m:oMath>
        <m:r>
          <w:rPr>
            <w:rFonts w:ascii="Cambria Math" w:hAnsi="Cambria Math"/>
          </w:rPr>
          <m:t>n</m:t>
        </m:r>
        <m:r>
          <m:rPr>
            <m:sty m:val="p"/>
          </m:rPr>
          <w:rPr>
            <w:rFonts w:ascii="Cambria Math" w:hAnsi="Cambria Math"/>
          </w:rPr>
          <m:t>×</m:t>
        </m:r>
        <m:r>
          <w:rPr>
            <w:rFonts w:ascii="Cambria Math" w:hAnsi="Cambria Math"/>
          </w:rPr>
          <m:t>n</m:t>
        </m:r>
      </m:oMath>
      <w:r>
        <w:t xml:space="preserve">, κάθε κελί μπορεί να λάβει μία από τρεις τιμές: </w:t>
      </w:r>
      <m:oMath>
        <m:r>
          <w:rPr>
            <w:rFonts w:ascii="Cambria Math" w:hAnsi="Cambria Math"/>
          </w:rPr>
          <m:t>X</m:t>
        </m:r>
      </m:oMath>
      <w:r>
        <w:t xml:space="preserve">, </w:t>
      </w:r>
      <m:oMath>
        <m:r>
          <w:rPr>
            <w:rFonts w:ascii="Cambria Math" w:hAnsi="Cambria Math"/>
          </w:rPr>
          <m:t>O</m:t>
        </m:r>
      </m:oMath>
      <w:r>
        <w:t xml:space="preserve"> ή κενό. Αν συμπεριληφθεί και η σειρά του παίκτη, το θεωρητικό άνω όριο του πλήθους καταστάσεων είναι:</w:t>
      </w:r>
    </w:p>
    <w:p w14:paraId="6F778CCF" w14:textId="77777777" w:rsidR="002B073E" w:rsidRDefault="00000000">
      <w:pPr>
        <w:pStyle w:val="a0"/>
        <w:spacing w:before="100" w:after="100"/>
        <w:jc w:val="center"/>
      </w:pPr>
      <m:oMathPara>
        <m:oMathParaPr>
          <m:jc m:val="center"/>
        </m:oMathParaPr>
        <m:oMath>
          <m:d>
            <m:dPr>
              <m:begChr m:val="|"/>
              <m:endChr m:val="|"/>
              <m:ctrlPr>
                <w:rPr>
                  <w:rFonts w:ascii="Cambria Math" w:hAnsi="Cambria Math"/>
                </w:rPr>
              </m:ctrlPr>
            </m:dPr>
            <m:e>
              <m:r>
                <m:rPr>
                  <m:scr m:val="script"/>
                  <m:sty m:val="p"/>
                </m:rPr>
                <w:rPr>
                  <w:rFonts w:ascii="Cambria Math" w:hAnsi="Cambria Math"/>
                </w:rPr>
                <m:t>S</m:t>
              </m:r>
            </m:e>
          </m:d>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3</m:t>
              </m:r>
            </m:e>
            <m:sup>
              <m:sSup>
                <m:sSupPr>
                  <m:ctrlPr>
                    <w:rPr>
                      <w:rFonts w:ascii="Cambria Math" w:hAnsi="Cambria Math"/>
                    </w:rPr>
                  </m:ctrlPr>
                </m:sSupPr>
                <m:e>
                  <m:r>
                    <w:rPr>
                      <w:rFonts w:ascii="Cambria Math" w:hAnsi="Cambria Math"/>
                    </w:rPr>
                    <m:t>n</m:t>
                  </m:r>
                </m:e>
                <m:sup>
                  <m:r>
                    <w:rPr>
                      <w:rFonts w:ascii="Cambria Math" w:hAnsi="Cambria Math"/>
                    </w:rPr>
                    <m:t>2</m:t>
                  </m:r>
                </m:sup>
              </m:sSup>
            </m:sup>
          </m:sSup>
          <m:r>
            <m:rPr>
              <m:sty m:val="p"/>
            </m:rPr>
            <w:rPr>
              <w:rFonts w:ascii="Cambria Math" w:hAnsi="Cambria Math"/>
            </w:rPr>
            <m:t>.</m:t>
          </m:r>
        </m:oMath>
      </m:oMathPara>
    </w:p>
    <w:p w14:paraId="5861DDF4" w14:textId="77777777" w:rsidR="002B073E" w:rsidRDefault="00000000">
      <w:pPr>
        <w:pStyle w:val="FirstParagraph"/>
      </w:pPr>
      <w:r>
        <w:t xml:space="preserve">Η αύξηση είναι εκθετική ως προς το </w:t>
      </w:r>
      <m:oMath>
        <m:sSup>
          <m:sSupPr>
            <m:ctrlPr>
              <w:rPr>
                <w:rFonts w:ascii="Cambria Math" w:hAnsi="Cambria Math"/>
              </w:rPr>
            </m:ctrlPr>
          </m:sSupPr>
          <m:e>
            <m:r>
              <w:rPr>
                <w:rFonts w:ascii="Cambria Math" w:hAnsi="Cambria Math"/>
              </w:rPr>
              <m:t>n</m:t>
            </m:r>
          </m:e>
          <m:sup>
            <m:r>
              <w:rPr>
                <w:rFonts w:ascii="Cambria Math" w:hAnsi="Cambria Math"/>
              </w:rPr>
              <m:t>2</m:t>
            </m:r>
          </m:sup>
        </m:sSup>
      </m:oMath>
      <w:r>
        <w:t>. Παρότι πολλές από αυτές τις καταστάσεις δεν είναι νόμιμες, το πλήθος των πραγματικά προσβάσιμων καταστάσεων παραμένει πολύ μεγάλο. Συνεπώς, η αποθήκευση ενός πλήρους tabular Q-table γίνεται γρήγορα μη πρακτική για μεγαλύτερες διαστάσεις.</w:t>
      </w:r>
    </w:p>
    <w:p w14:paraId="3D8CC41D" w14:textId="77777777" w:rsidR="002B073E" w:rsidRDefault="00000000">
      <w:pPr>
        <w:pStyle w:val="a0"/>
      </w:pPr>
      <w:r>
        <w:t xml:space="preserve">Παράλληλα, η minimax αναζήτηση παρουσιάζει επίσης εκθετική αύξηση. Αν ο μέσος branching factor είναι </w:t>
      </w:r>
      <m:oMath>
        <m:r>
          <w:rPr>
            <w:rFonts w:ascii="Cambria Math" w:hAnsi="Cambria Math"/>
          </w:rPr>
          <m:t>b</m:t>
        </m:r>
      </m:oMath>
      <w:r>
        <w:t xml:space="preserve"> και το βάθος αναζήτησης είναι </w:t>
      </w:r>
      <m:oMath>
        <m:r>
          <w:rPr>
            <w:rFonts w:ascii="Cambria Math" w:hAnsi="Cambria Math"/>
          </w:rPr>
          <m:t>d</m:t>
        </m:r>
      </m:oMath>
      <w:r>
        <w:t>, η βασική πολυπλοκότητα είναι της τάξης:</w:t>
      </w:r>
    </w:p>
    <w:p w14:paraId="5C4C6AA5" w14:textId="77777777" w:rsidR="002B073E" w:rsidRDefault="00000000">
      <w:pPr>
        <w:pStyle w:val="a0"/>
        <w:spacing w:before="100" w:after="100"/>
        <w:jc w:val="center"/>
      </w:pPr>
      <m:oMathPara>
        <m:oMathParaPr>
          <m:jc m:val="center"/>
        </m:oMathParaP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d</m:t>
                  </m:r>
                </m:sup>
              </m:sSup>
            </m:e>
          </m:d>
          <m:r>
            <m:rPr>
              <m:sty m:val="p"/>
            </m:rPr>
            <w:rPr>
              <w:rFonts w:ascii="Cambria Math" w:hAnsi="Cambria Math"/>
            </w:rPr>
            <m:t>.</m:t>
          </m:r>
        </m:oMath>
      </m:oMathPara>
    </w:p>
    <w:p w14:paraId="7AA41B2C" w14:textId="77777777" w:rsidR="002B073E" w:rsidRDefault="00000000">
      <w:pPr>
        <w:pStyle w:val="FirstParagraph"/>
      </w:pPr>
      <w:r>
        <w:t>Το alpha-beta pruning μειώνει τον αριθμό των κόμβων που εξετάζονται, αλλά δεν εξαλείφει την εκθετική φύση της αναζήτησης.</w:t>
      </w:r>
    </w:p>
    <w:p w14:paraId="04B36205" w14:textId="77777777" w:rsidR="002B073E" w:rsidRDefault="00000000">
      <w:pPr>
        <w:pStyle w:val="a0"/>
      </w:pPr>
      <w:r>
        <w:t>Για μεγαλύτερα ταμπλό μπορούν να εφαρμοστούν:</w:t>
      </w:r>
    </w:p>
    <w:p w14:paraId="70C4172E" w14:textId="77777777" w:rsidR="002B073E" w:rsidRDefault="00000000">
      <w:pPr>
        <w:pStyle w:val="Compact"/>
        <w:numPr>
          <w:ilvl w:val="0"/>
          <w:numId w:val="4"/>
        </w:numPr>
      </w:pPr>
      <w:r>
        <w:t>περιορισμός του βάθους minimax,</w:t>
      </w:r>
    </w:p>
    <w:p w14:paraId="2DBA36D9" w14:textId="77777777" w:rsidR="002B073E" w:rsidRDefault="00000000">
      <w:pPr>
        <w:pStyle w:val="Compact"/>
        <w:numPr>
          <w:ilvl w:val="0"/>
          <w:numId w:val="4"/>
        </w:numPr>
      </w:pPr>
      <w:r>
        <w:t>ευρετική αξιολόγηση μη τερματικών κόμβων,</w:t>
      </w:r>
    </w:p>
    <w:p w14:paraId="5BD6F57A" w14:textId="77777777" w:rsidR="002B073E" w:rsidRDefault="00000000">
      <w:pPr>
        <w:pStyle w:val="Compact"/>
        <w:numPr>
          <w:ilvl w:val="0"/>
          <w:numId w:val="4"/>
        </w:numPr>
      </w:pPr>
      <w:r>
        <w:t>βελτιωμένη διάταξη των ενεργειών για αποτελεσματικότερο pruning,</w:t>
      </w:r>
    </w:p>
    <w:p w14:paraId="60943092" w14:textId="77777777" w:rsidR="002B073E" w:rsidRDefault="00000000">
      <w:pPr>
        <w:pStyle w:val="Compact"/>
        <w:numPr>
          <w:ilvl w:val="0"/>
          <w:numId w:val="4"/>
        </w:numPr>
      </w:pPr>
      <w:r>
        <w:t>Monte Carlo Tree Search,</w:t>
      </w:r>
    </w:p>
    <w:p w14:paraId="3018366B" w14:textId="77777777" w:rsidR="002B073E" w:rsidRDefault="00000000">
      <w:pPr>
        <w:pStyle w:val="Compact"/>
        <w:numPr>
          <w:ilvl w:val="0"/>
          <w:numId w:val="4"/>
        </w:numPr>
      </w:pPr>
      <w:r>
        <w:lastRenderedPageBreak/>
        <w:t>αξιοποίηση περιστροφών και ανακλάσεων του ταμπλό,</w:t>
      </w:r>
    </w:p>
    <w:p w14:paraId="2BEC777F" w14:textId="77777777" w:rsidR="002B073E" w:rsidRDefault="00000000">
      <w:pPr>
        <w:pStyle w:val="Compact"/>
        <w:numPr>
          <w:ilvl w:val="0"/>
          <w:numId w:val="4"/>
        </w:numPr>
      </w:pPr>
      <w:r>
        <w:t>αντικατάσταση του Q-table από νευρωνική προσέγγιση της συνάρτησης αξίας,</w:t>
      </w:r>
    </w:p>
    <w:p w14:paraId="29B107B3" w14:textId="77777777" w:rsidR="002B073E" w:rsidRDefault="00000000">
      <w:pPr>
        <w:pStyle w:val="Compact"/>
        <w:numPr>
          <w:ilvl w:val="0"/>
          <w:numId w:val="4"/>
        </w:numPr>
      </w:pPr>
      <w:r>
        <w:t>χρήση latent αναπαραστάσεων για μεταφορά γνώσης μεταξύ παρόμοιων καταστάσεων.</w:t>
      </w:r>
    </w:p>
    <w:p w14:paraId="07811939" w14:textId="77777777" w:rsidR="002B073E" w:rsidRDefault="00000000">
      <w:pPr>
        <w:pStyle w:val="FirstParagraph"/>
      </w:pPr>
      <w:r>
        <w:t>Η τελευταία προσέγγιση εξετάζεται στο Ερώτημα 2.4 μέσω του Variational Auto-Encoder και του weighted K-nearest neighbours.</w:t>
      </w:r>
    </w:p>
    <w:p w14:paraId="7EB16636" w14:textId="77777777" w:rsidR="002B073E" w:rsidRDefault="00000000">
      <w:pPr>
        <w:pStyle w:val="1"/>
      </w:pPr>
      <w:bookmarkStart w:id="13" w:name="έλεγχος-γενίκευσης-σε-unseen-καταστάσεις"/>
      <w:bookmarkEnd w:id="6"/>
      <w:bookmarkEnd w:id="12"/>
      <w:r>
        <w:t>2.4 Έλεγχος γενίκευσης σε unseen καταστάσεις</w:t>
      </w:r>
    </w:p>
    <w:p w14:paraId="76AB22E5" w14:textId="77777777" w:rsidR="002B073E" w:rsidRDefault="00000000">
      <w:pPr>
        <w:pStyle w:val="2"/>
      </w:pPr>
      <w:bookmarkStart w:id="14" w:name="στόχος-του-πειράματος"/>
      <w:r>
        <w:t>2.4.1 Στόχος του πειράματος</w:t>
      </w:r>
    </w:p>
    <w:p w14:paraId="1E66A002" w14:textId="77777777" w:rsidR="002B073E" w:rsidRDefault="00000000">
      <w:pPr>
        <w:pStyle w:val="FirstParagraph"/>
      </w:pPr>
      <w:r>
        <w:t xml:space="preserve">Βασικός περιορισμός του tabular Q-learning είναι ότι δεν μπορεί να γενικεύσει άμεσα σε καταστάσεις που δεν υπάρχουν στον Q-πίνακα. Αν μία κατάσταση </w:t>
      </w:r>
      <m:oMath>
        <m:r>
          <w:rPr>
            <w:rFonts w:ascii="Cambria Math" w:hAnsi="Cambria Math"/>
          </w:rPr>
          <m:t>s</m:t>
        </m:r>
      </m:oMath>
      <w:r>
        <w:t xml:space="preserve"> δεν διαθέτει Q-row, ο agent δεν έχει εκπαιδευμένες τιμές </w:t>
      </w:r>
      <m:oMath>
        <m:r>
          <w:rPr>
            <w:rFonts w:ascii="Cambria Math" w:hAnsi="Cambria Math"/>
          </w:rPr>
          <m:t>Q</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oMath>
      <w:r>
        <w:t xml:space="preserve"> για τις διαθέσιμες ενέργειες.</w:t>
      </w:r>
    </w:p>
    <w:p w14:paraId="62152718" w14:textId="77777777" w:rsidR="002B073E" w:rsidRDefault="00000000">
      <w:pPr>
        <w:pStyle w:val="a0"/>
      </w:pPr>
      <w:r>
        <w:t>Ο στόχος του πειράματος ήταν να εξεταστεί αν ο λανθάνων χώρος του VAE μπορεί να χρησιμοποιηθεί για τη μεταφορά γνώσης από γνωστές σε unseen καταστάσεις. Συγκρίθηκαν δύο μέθοδοι:</w:t>
      </w:r>
    </w:p>
    <w:p w14:paraId="6089B0AA" w14:textId="77777777" w:rsidR="002B073E" w:rsidRDefault="00000000">
      <w:pPr>
        <w:pStyle w:val="Compact"/>
        <w:numPr>
          <w:ilvl w:val="0"/>
          <w:numId w:val="5"/>
        </w:numPr>
      </w:pPr>
      <w:r>
        <w:t>ένας baseline agent, ο οποίος επιλέγει τυχαία μία νόμιμη ενέργεια όταν η κατάσταση δεν υπάρχει στον Q-πίνακα,</w:t>
      </w:r>
    </w:p>
    <w:p w14:paraId="1D4B47A5" w14:textId="77777777" w:rsidR="002B073E" w:rsidRDefault="00000000">
      <w:pPr>
        <w:pStyle w:val="Compact"/>
        <w:numPr>
          <w:ilvl w:val="0"/>
          <w:numId w:val="5"/>
        </w:numPr>
      </w:pPr>
      <w:r>
        <w:t>ένας VAE-based agent, ο οποίος εκτιμά τις Q-τιμές από τις κοντινότερες γνωστές καταστάσεις στον λανθάνοντα χώρο.</w:t>
      </w:r>
    </w:p>
    <w:p w14:paraId="6C084F45" w14:textId="77777777" w:rsidR="002B073E" w:rsidRDefault="00000000">
      <w:pPr>
        <w:pStyle w:val="2"/>
      </w:pPr>
      <w:bookmarkStart w:id="15" w:name="παραγωγή-νέων-καταστάσεων"/>
      <w:bookmarkEnd w:id="14"/>
      <w:r>
        <w:t>2.4.2 Παραγωγή νέων καταστάσεων</w:t>
      </w:r>
    </w:p>
    <w:p w14:paraId="15D5EB1A" w14:textId="77777777" w:rsidR="002B073E" w:rsidRDefault="00000000">
      <w:pPr>
        <w:pStyle w:val="FirstParagraph"/>
      </w:pPr>
      <w:r>
        <w:t>Παρήχθησαν:</w:t>
      </w:r>
    </w:p>
    <w:p w14:paraId="4AA9009D" w14:textId="77777777" w:rsidR="002B073E" w:rsidRDefault="00000000">
      <w:pPr>
        <w:pStyle w:val="a0"/>
        <w:spacing w:before="100" w:after="100"/>
        <w:jc w:val="center"/>
      </w:pPr>
      <m:oMathPara>
        <m:oMathParaPr>
          <m:jc m:val="center"/>
        </m:oMathParaPr>
        <m:oMath>
          <m:r>
            <w:rPr>
              <w:rFonts w:ascii="Cambria Math" w:hAnsi="Cambria Math"/>
            </w:rPr>
            <m:t>N</m:t>
          </m:r>
          <m:r>
            <m:rPr>
              <m:sty m:val="p"/>
            </m:rPr>
            <w:rPr>
              <w:rFonts w:ascii="Cambria Math" w:hAnsi="Cambria Math"/>
            </w:rPr>
            <m:t>=</m:t>
          </m:r>
          <m:r>
            <w:rPr>
              <w:rFonts w:ascii="Cambria Math" w:hAnsi="Cambria Math"/>
            </w:rPr>
            <m:t>50 000</m:t>
          </m:r>
        </m:oMath>
      </m:oMathPara>
    </w:p>
    <w:p w14:paraId="50895B67" w14:textId="77777777" w:rsidR="002B073E" w:rsidRDefault="00000000">
      <w:pPr>
        <w:pStyle w:val="FirstParagraph"/>
      </w:pPr>
      <w:r>
        <w:t>τυχαία latent vectors από την prior κατανομή του VAE:</w:t>
      </w:r>
    </w:p>
    <w:p w14:paraId="40846C7D" w14:textId="77777777" w:rsidR="002B073E" w:rsidRDefault="00000000">
      <w:pPr>
        <w:pStyle w:val="a0"/>
        <w:spacing w:before="100" w:after="100"/>
        <w:jc w:val="center"/>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i</m:t>
              </m:r>
            </m:sub>
          </m:sSub>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I</m:t>
              </m:r>
            </m:e>
          </m:d>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50 000</m:t>
          </m:r>
          <m:r>
            <m:rPr>
              <m:sty m:val="p"/>
            </m:rPr>
            <w:rPr>
              <w:rFonts w:ascii="Cambria Math" w:hAnsi="Cambria Math"/>
            </w:rPr>
            <m:t>.</m:t>
          </m:r>
        </m:oMath>
      </m:oMathPara>
    </w:p>
    <w:p w14:paraId="3342CABB" w14:textId="77777777" w:rsidR="002B073E" w:rsidRDefault="00000000">
      <w:pPr>
        <w:pStyle w:val="FirstParagraph"/>
      </w:pPr>
      <w:r>
        <w:t>Κάθε latent vector αποκωδικοποιήθηκε σε ένα ταμπλό και μία πρόβλεψη για τη σειρά του παίκτη. Για την παραγωγή των τιμών των κελιών χρησιμοποιήθηκε categorical sampling με temperature:</w:t>
      </w:r>
    </w:p>
    <w:p w14:paraId="2468412D" w14:textId="77777777" w:rsidR="002B073E" w:rsidRDefault="00000000">
      <w:pPr>
        <w:pStyle w:val="a0"/>
        <w:spacing w:before="100" w:after="100"/>
        <w:jc w:val="center"/>
      </w:pPr>
      <m:oMathPara>
        <m:oMathParaPr>
          <m:jc m:val="center"/>
        </m:oMathParaPr>
        <m:oMath>
          <m:r>
            <w:rPr>
              <w:rFonts w:ascii="Cambria Math" w:hAnsi="Cambria Math"/>
            </w:rPr>
            <m:t>T</m:t>
          </m:r>
          <m:r>
            <m:rPr>
              <m:sty m:val="p"/>
            </m:rPr>
            <w:rPr>
              <w:rFonts w:ascii="Cambria Math" w:hAnsi="Cambria Math"/>
            </w:rPr>
            <m:t>=</m:t>
          </m:r>
          <m:r>
            <w:rPr>
              <w:rFonts w:ascii="Cambria Math" w:hAnsi="Cambria Math"/>
            </w:rPr>
            <m:t>0.8</m:t>
          </m:r>
          <m:r>
            <m:rPr>
              <m:sty m:val="p"/>
            </m:rPr>
            <w:rPr>
              <w:rFonts w:ascii="Cambria Math" w:hAnsi="Cambria Math"/>
            </w:rPr>
            <m:t>.</m:t>
          </m:r>
        </m:oMath>
      </m:oMathPara>
    </w:p>
    <w:p w14:paraId="4E991BA3" w14:textId="77777777" w:rsidR="002B073E" w:rsidRDefault="00000000">
      <w:pPr>
        <w:pStyle w:val="FirstParagraph"/>
      </w:pPr>
      <w:r>
        <w:t xml:space="preserve">Αν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r>
              <m:rPr>
                <m:sty m:val="p"/>
              </m:rPr>
              <w:rPr>
                <w:rFonts w:ascii="Cambria Math" w:hAnsi="Cambria Math"/>
              </w:rPr>
              <m:t>,</m:t>
            </m:r>
            <m:r>
              <w:rPr>
                <w:rFonts w:ascii="Cambria Math" w:hAnsi="Cambria Math"/>
              </w:rPr>
              <m:t>c</m:t>
            </m:r>
          </m:sub>
        </m:sSub>
      </m:oMath>
      <w:r>
        <w:t xml:space="preserve"> είναι το logit της κατηγορίας </w:t>
      </w:r>
      <m:oMath>
        <m:r>
          <w:rPr>
            <w:rFonts w:ascii="Cambria Math" w:hAnsi="Cambria Math"/>
          </w:rPr>
          <m:t>c</m:t>
        </m:r>
      </m:oMath>
      <w:r>
        <w:t xml:space="preserve"> για το κελί </w:t>
      </w:r>
      <m:oMath>
        <m:r>
          <w:rPr>
            <w:rFonts w:ascii="Cambria Math" w:hAnsi="Cambria Math"/>
          </w:rPr>
          <m:t>i</m:t>
        </m:r>
      </m:oMath>
      <w:r>
        <w:t>, η πιθανότητα δειγματοληψίας ορίζεται ως:</w:t>
      </w:r>
    </w:p>
    <w:p w14:paraId="62C61035" w14:textId="77777777" w:rsidR="002B073E" w:rsidRDefault="00000000">
      <w:pPr>
        <w:pStyle w:val="a0"/>
        <w:spacing w:before="100" w:after="100"/>
        <w:jc w:val="center"/>
      </w:pPr>
      <m:oMathPara>
        <m:oMathParaPr>
          <m:jc m:val="center"/>
        </m:oMathParaP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c</m:t>
              </m:r>
            </m:e>
          </m:d>
          <m:r>
            <m:rPr>
              <m:sty m:val="p"/>
            </m:rP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r>
                        <m:rPr>
                          <m:sty m:val="p"/>
                        </m:rPr>
                        <w:rPr>
                          <w:rFonts w:ascii="Cambria Math" w:hAnsi="Cambria Math"/>
                        </w:rPr>
                        <m:t>,</m:t>
                      </m:r>
                      <m:r>
                        <w:rPr>
                          <w:rFonts w:ascii="Cambria Math" w:hAnsi="Cambria Math"/>
                        </w:rPr>
                        <m:t>c</m:t>
                      </m:r>
                    </m:sub>
                  </m:sSub>
                  <m:r>
                    <m:rPr>
                      <m:sty m:val="p"/>
                    </m:rPr>
                    <w:rPr>
                      <w:rFonts w:ascii="Cambria Math" w:hAnsi="Cambria Math"/>
                    </w:rPr>
                    <m:t>/</m:t>
                  </m:r>
                  <m:r>
                    <w:rPr>
                      <w:rFonts w:ascii="Cambria Math" w:hAnsi="Cambria Math"/>
                    </w:rPr>
                    <m:t>T</m:t>
                  </m:r>
                </m:e>
              </m:d>
            </m:num>
            <m:den>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rPr>
                    <m:t>'</m:t>
                  </m:r>
                </m:sub>
                <m:sup>
                  <m:r>
                    <w:rPr>
                      <w:rFonts w:ascii="Cambria Math" w:hAnsi="Cambria Math"/>
                    </w:rPr>
                    <m:t>​</m:t>
                  </m:r>
                </m:sup>
                <m:e>
                  <m:r>
                    <m:rPr>
                      <m:sty m:val="p"/>
                    </m:rPr>
                    <w:rPr>
                      <w:rFonts w:ascii="Cambria Math" w:hAnsi="Cambria Math"/>
                    </w:rPr>
                    <m:t>exp</m:t>
                  </m:r>
                </m:e>
              </m:nary>
              <m:d>
                <m:dPr>
                  <m:ctrlPr>
                    <w:rPr>
                      <w:rFonts w:ascii="Cambria Math" w:hAnsi="Cambria Math"/>
                    </w:rPr>
                  </m:ctrlPr>
                </m:dPr>
                <m:e>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r>
                        <m:rPr>
                          <m:sty m:val="p"/>
                        </m:rPr>
                        <w:rPr>
                          <w:rFonts w:ascii="Cambria Math" w:hAnsi="Cambria Math"/>
                        </w:rPr>
                        <m:t>,</m:t>
                      </m:r>
                      <m:r>
                        <w:rPr>
                          <w:rFonts w:ascii="Cambria Math" w:hAnsi="Cambria Math"/>
                        </w:rPr>
                        <m:t>c</m:t>
                      </m:r>
                      <m:r>
                        <m:rPr>
                          <m:sty m:val="p"/>
                        </m:rPr>
                        <w:rPr>
                          <w:rFonts w:ascii="Cambria Math" w:hAnsi="Cambria Math"/>
                        </w:rPr>
                        <m:t>'</m:t>
                      </m:r>
                    </m:sub>
                  </m:sSub>
                  <m:r>
                    <m:rPr>
                      <m:sty m:val="p"/>
                    </m:rPr>
                    <w:rPr>
                      <w:rFonts w:ascii="Cambria Math" w:hAnsi="Cambria Math"/>
                    </w:rPr>
                    <m:t>/</m:t>
                  </m:r>
                  <m:r>
                    <w:rPr>
                      <w:rFonts w:ascii="Cambria Math" w:hAnsi="Cambria Math"/>
                    </w:rPr>
                    <m:t>T</m:t>
                  </m:r>
                </m:e>
              </m:d>
            </m:den>
          </m:f>
          <m:r>
            <m:rPr>
              <m:sty m:val="p"/>
            </m:rPr>
            <w:rPr>
              <w:rFonts w:ascii="Cambria Math" w:hAnsi="Cambria Math"/>
            </w:rPr>
            <m:t>.</m:t>
          </m:r>
        </m:oMath>
      </m:oMathPara>
    </w:p>
    <w:p w14:paraId="6368B2D8" w14:textId="77777777" w:rsidR="002B073E" w:rsidRDefault="00000000">
      <w:pPr>
        <w:pStyle w:val="FirstParagraph"/>
      </w:pPr>
      <w:r>
        <w:t xml:space="preserve">Η χρήση categorical sampling αντί για αποκλειστικό argmax αυξάνει την ποικιλία των παραγόμενων καταστάσεων. Επειδή </w:t>
      </w:r>
      <m:oMath>
        <m:r>
          <w:rPr>
            <w:rFonts w:ascii="Cambria Math" w:hAnsi="Cambria Math"/>
          </w:rPr>
          <m:t>T</m:t>
        </m:r>
        <m:r>
          <m:rPr>
            <m:sty m:val="p"/>
          </m:rPr>
          <w:rPr>
            <w:rFonts w:ascii="Cambria Math" w:hAnsi="Cambria Math"/>
          </w:rPr>
          <m:t>&lt;</m:t>
        </m:r>
        <m:r>
          <w:rPr>
            <w:rFonts w:ascii="Cambria Math" w:hAnsi="Cambria Math"/>
          </w:rPr>
          <m:t>1</m:t>
        </m:r>
      </m:oMath>
      <w:r>
        <w:t>, οι επικρατέστερες κατηγορίες εξακολουθούν να έχουν υψηλή πιθανότητα, ενώ επιτρέπεται η παραγωγή λιγότερο συχνών μοτίβων.</w:t>
      </w:r>
    </w:p>
    <w:p w14:paraId="42A1F065" w14:textId="77777777" w:rsidR="002B073E" w:rsidRDefault="00000000">
      <w:pPr>
        <w:pStyle w:val="2"/>
      </w:pPr>
      <w:bookmarkStart w:id="16" w:name="έλεγχος-εγκυρότητας"/>
      <w:bookmarkEnd w:id="15"/>
      <w:r>
        <w:lastRenderedPageBreak/>
        <w:t>2.4.3 Έλεγχος εγκυρότητας</w:t>
      </w:r>
    </w:p>
    <w:p w14:paraId="59902A0E" w14:textId="77777777" w:rsidR="002B073E" w:rsidRDefault="00000000">
      <w:pPr>
        <w:pStyle w:val="FirstParagraph"/>
      </w:pPr>
      <w:r>
        <w:t>Κάθε παραγόμενη κατάσταση ελέγχθηκε σύμφωνα με τους κανόνες του παιχνιδιού. Ο έλεγχος περιλάμβανε:</w:t>
      </w:r>
    </w:p>
    <w:p w14:paraId="0AAA5359" w14:textId="77777777" w:rsidR="002B073E" w:rsidRDefault="00000000">
      <w:pPr>
        <w:pStyle w:val="Compact"/>
        <w:numPr>
          <w:ilvl w:val="0"/>
          <w:numId w:val="6"/>
        </w:numPr>
      </w:pPr>
      <w:r>
        <w:t xml:space="preserve">τη διαφορά μεταξύ του πλήθους των συμβόλων </w:t>
      </w:r>
      <m:oMath>
        <m:r>
          <w:rPr>
            <w:rFonts w:ascii="Cambria Math" w:hAnsi="Cambria Math"/>
          </w:rPr>
          <m:t>X</m:t>
        </m:r>
      </m:oMath>
      <w:r>
        <w:t xml:space="preserve"> και </w:t>
      </w:r>
      <m:oMath>
        <m:r>
          <w:rPr>
            <w:rFonts w:ascii="Cambria Math" w:hAnsi="Cambria Math"/>
          </w:rPr>
          <m:t>O</m:t>
        </m:r>
      </m:oMath>
      <w:r>
        <w:t>,</w:t>
      </w:r>
    </w:p>
    <w:p w14:paraId="434C4543" w14:textId="77777777" w:rsidR="002B073E" w:rsidRDefault="00000000">
      <w:pPr>
        <w:pStyle w:val="Compact"/>
        <w:numPr>
          <w:ilvl w:val="0"/>
          <w:numId w:val="6"/>
        </w:numPr>
      </w:pPr>
      <w:r>
        <w:t>τη συμβατότητα της σειράς του παίκτη με τον αριθμό των πραγματοποιημένων κινήσεων,</w:t>
      </w:r>
    </w:p>
    <w:p w14:paraId="600A0390" w14:textId="77777777" w:rsidR="002B073E" w:rsidRDefault="00000000">
      <w:pPr>
        <w:pStyle w:val="Compact"/>
        <w:numPr>
          <w:ilvl w:val="0"/>
          <w:numId w:val="6"/>
        </w:numPr>
      </w:pPr>
      <w:r>
        <w:t>την απόρριψη καταστάσεων όπου κερδίζουν ταυτόχρονα και οι δύο παίκτες,</w:t>
      </w:r>
    </w:p>
    <w:p w14:paraId="7B379E8D" w14:textId="77777777" w:rsidR="002B073E" w:rsidRDefault="00000000">
      <w:pPr>
        <w:pStyle w:val="Compact"/>
        <w:numPr>
          <w:ilvl w:val="0"/>
          <w:numId w:val="6"/>
        </w:numPr>
      </w:pPr>
      <w:r>
        <w:t>τον έλεγχο ότι ο νικητής έχει πραγματοποιήσει την τελευταία νόμιμη κίνηση,</w:t>
      </w:r>
    </w:p>
    <w:p w14:paraId="1FCA6F00" w14:textId="77777777" w:rsidR="002B073E" w:rsidRDefault="00000000">
      <w:pPr>
        <w:pStyle w:val="Compact"/>
        <w:numPr>
          <w:ilvl w:val="0"/>
          <w:numId w:val="6"/>
        </w:numPr>
      </w:pPr>
      <w:r>
        <w:t>την απόρριψη καταστάσεων με ήδη υπάρχοντα νικητή από το σύνολο αξιολόγησης.</w:t>
      </w:r>
    </w:p>
    <w:p w14:paraId="34111C81" w14:textId="77777777" w:rsidR="002B073E" w:rsidRDefault="00000000">
      <w:pPr>
        <w:pStyle w:val="FirstParagraph"/>
      </w:pPr>
      <w:r>
        <w:t>Από τα 50.000 παραγόμενα samples, τα 21.305 χαρακτηρίστηκαν έγκυρα:</w:t>
      </w:r>
    </w:p>
    <w:p w14:paraId="0F7F61F9" w14:textId="77777777" w:rsidR="002B073E" w:rsidRDefault="00000000">
      <w:pPr>
        <w:pStyle w:val="a0"/>
        <w:spacing w:before="100" w:after="100"/>
        <w:jc w:val="center"/>
      </w:pPr>
      <m:oMathPara>
        <m:oMathParaPr>
          <m:jc m:val="center"/>
        </m:oMathParaPr>
        <m:oMath>
          <m:sSub>
            <m:sSubPr>
              <m:ctrlPr>
                <w:rPr>
                  <w:rFonts w:ascii="Cambria Math" w:hAnsi="Cambria Math"/>
                </w:rPr>
              </m:ctrlPr>
            </m:sSubPr>
            <m:e>
              <m:r>
                <w:rPr>
                  <w:rFonts w:ascii="Cambria Math" w:hAnsi="Cambria Math"/>
                </w:rPr>
                <m:t>N</m:t>
              </m:r>
            </m:e>
            <m:sub>
              <m:r>
                <m:rPr>
                  <m:sty m:val="p"/>
                </m:rPr>
                <w:rPr>
                  <w:rFonts w:ascii="Cambria Math" w:hAnsi="Cambria Math"/>
                </w:rPr>
                <m:t>valid</m:t>
              </m:r>
            </m:sub>
          </m:sSub>
          <m:r>
            <m:rPr>
              <m:sty m:val="p"/>
            </m:rPr>
            <w:rPr>
              <w:rFonts w:ascii="Cambria Math" w:hAnsi="Cambria Math"/>
            </w:rPr>
            <m:t>=</m:t>
          </m:r>
          <m:r>
            <w:rPr>
              <w:rFonts w:ascii="Cambria Math" w:hAnsi="Cambria Math"/>
            </w:rPr>
            <m:t>21 305</m:t>
          </m:r>
          <m:r>
            <m:rPr>
              <m:sty m:val="p"/>
            </m:rPr>
            <w:rPr>
              <w:rFonts w:ascii="Cambria Math" w:hAnsi="Cambria Math"/>
            </w:rPr>
            <m:t>.</m:t>
          </m:r>
        </m:oMath>
      </m:oMathPara>
    </w:p>
    <w:p w14:paraId="24DE5085" w14:textId="77777777" w:rsidR="002B073E" w:rsidRDefault="00000000">
      <w:pPr>
        <w:pStyle w:val="FirstParagraph"/>
      </w:pPr>
      <w:r>
        <w:t>Το ποσοστό αποδοχής ήταν:</w:t>
      </w:r>
    </w:p>
    <w:p w14:paraId="7FC3C798" w14:textId="77777777" w:rsidR="002B073E" w:rsidRDefault="00000000">
      <w:pPr>
        <w:pStyle w:val="a0"/>
        <w:spacing w:before="100" w:after="100"/>
        <w:jc w:val="center"/>
      </w:pPr>
      <m:oMathPara>
        <m:oMathParaPr>
          <m:jc m:val="center"/>
        </m:oMathParaPr>
        <m:oMath>
          <m:r>
            <m:rPr>
              <m:sty m:val="p"/>
            </m:rPr>
            <w:rPr>
              <w:rFonts w:ascii="Cambria Math" w:hAnsi="Cambria Math"/>
            </w:rPr>
            <m:t>Acceptance rate=</m:t>
          </m:r>
          <m:f>
            <m:fPr>
              <m:ctrlPr>
                <w:rPr>
                  <w:rFonts w:ascii="Cambria Math" w:hAnsi="Cambria Math"/>
                </w:rPr>
              </m:ctrlPr>
            </m:fPr>
            <m:num>
              <m:r>
                <w:rPr>
                  <w:rFonts w:ascii="Cambria Math" w:hAnsi="Cambria Math"/>
                </w:rPr>
                <m:t>21 305</m:t>
              </m:r>
            </m:num>
            <m:den>
              <m:r>
                <w:rPr>
                  <w:rFonts w:ascii="Cambria Math" w:hAnsi="Cambria Math"/>
                </w:rPr>
                <m:t>50 000</m:t>
              </m:r>
            </m:den>
          </m:f>
          <m:r>
            <m:rPr>
              <m:sty m:val="p"/>
            </m:rPr>
            <w:rPr>
              <w:rFonts w:ascii="Cambria Math" w:hAnsi="Cambria Math"/>
            </w:rPr>
            <m:t>=</m:t>
          </m:r>
          <m:r>
            <w:rPr>
              <w:rFonts w:ascii="Cambria Math" w:hAnsi="Cambria Math"/>
            </w:rPr>
            <m:t>0.4261</m:t>
          </m:r>
          <m:r>
            <m:rPr>
              <m:sty m:val="p"/>
            </m:rPr>
            <w:rPr>
              <w:rFonts w:ascii="Cambria Math" w:hAnsi="Cambria Math"/>
            </w:rPr>
            <m:t>≈</m:t>
          </m:r>
          <m:r>
            <w:rPr>
              <w:rFonts w:ascii="Cambria Math" w:hAnsi="Cambria Math"/>
            </w:rPr>
            <m:t>42.6</m:t>
          </m:r>
          <m:r>
            <m:rPr>
              <m:sty m:val="p"/>
            </m:rPr>
            <w:rPr>
              <w:rFonts w:ascii="Cambria Math" w:hAnsi="Cambria Math"/>
            </w:rPr>
            <m:t>%.</m:t>
          </m:r>
        </m:oMath>
      </m:oMathPara>
    </w:p>
    <w:p w14:paraId="14CD04C9" w14:textId="77777777" w:rsidR="002B073E" w:rsidRDefault="00000000">
      <w:pPr>
        <w:pStyle w:val="FirstParagraph"/>
      </w:pPr>
      <w:r>
        <w:t>Επομένως, περίπου τέσσερα στα δέκα δείγματα από το prior αντιστοιχούσαν σε έγκυρες, μη νικηφόρες καταστάσεις του παιχνιδιού.</w:t>
      </w:r>
    </w:p>
    <w:p w14:paraId="183D6285" w14:textId="77777777" w:rsidR="002B073E" w:rsidRDefault="00000000">
      <w:pPr>
        <w:pStyle w:val="2"/>
      </w:pPr>
      <w:bookmarkStart w:id="17" w:name="κάλυψη-του-χώρου-καταστάσεων"/>
      <w:bookmarkEnd w:id="16"/>
      <w:r>
        <w:t>2.4.4 Κάλυψη του χώρου καταστάσεων</w:t>
      </w:r>
    </w:p>
    <w:p w14:paraId="05F95772" w14:textId="77777777" w:rsidR="002B073E" w:rsidRDefault="00000000">
      <w:pPr>
        <w:pStyle w:val="FirstParagraph"/>
      </w:pPr>
      <w:r>
        <w:t>Μετά την αφαίρεση των επαναλαμβανόμενων δειγμάτων προέκυψαν 5.856 μοναδικές έγκυρες καταστάσεις.</w:t>
      </w:r>
    </w:p>
    <w:tbl>
      <w:tblPr>
        <w:tblStyle w:val="Table"/>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020" w:firstRow="1" w:lastRow="0" w:firstColumn="0" w:lastColumn="0" w:noHBand="0" w:noVBand="0"/>
      </w:tblPr>
      <w:tblGrid>
        <w:gridCol w:w="4100"/>
        <w:gridCol w:w="873"/>
      </w:tblGrid>
      <w:tr w:rsidR="002B073E" w14:paraId="38129963" w14:textId="77777777" w:rsidTr="002B073E">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D9EAF7"/>
            <w:vAlign w:val="center"/>
          </w:tcPr>
          <w:p w14:paraId="499C5CB2" w14:textId="77777777" w:rsidR="002B073E" w:rsidRDefault="00000000">
            <w:pPr>
              <w:pStyle w:val="Compact"/>
              <w:jc w:val="center"/>
            </w:pPr>
            <w:r>
              <w:rPr>
                <w:b/>
                <w:sz w:val="20"/>
              </w:rPr>
              <w:t>Μέγεθος</w:t>
            </w:r>
          </w:p>
        </w:tc>
        <w:tc>
          <w:tcPr>
            <w:tcW w:w="0" w:type="auto"/>
            <w:shd w:val="clear" w:color="auto" w:fill="D9EAF7"/>
            <w:vAlign w:val="center"/>
          </w:tcPr>
          <w:p w14:paraId="0E9CFFEB" w14:textId="77777777" w:rsidR="002B073E" w:rsidRDefault="00000000">
            <w:pPr>
              <w:pStyle w:val="Compact"/>
              <w:jc w:val="center"/>
            </w:pPr>
            <w:r>
              <w:rPr>
                <w:b/>
                <w:sz w:val="20"/>
              </w:rPr>
              <w:t>Πλήθος</w:t>
            </w:r>
          </w:p>
        </w:tc>
      </w:tr>
      <w:tr w:rsidR="002B073E" w14:paraId="7F1EC810" w14:textId="77777777" w:rsidTr="002B073E">
        <w:trPr>
          <w:cantSplit/>
          <w:jc w:val="center"/>
        </w:trPr>
        <w:tc>
          <w:tcPr>
            <w:tcW w:w="0" w:type="auto"/>
            <w:vAlign w:val="center"/>
          </w:tcPr>
          <w:p w14:paraId="3C933B97" w14:textId="77777777" w:rsidR="002B073E" w:rsidRDefault="00000000">
            <w:pPr>
              <w:pStyle w:val="Compact"/>
              <w:jc w:val="left"/>
            </w:pPr>
            <w:r>
              <w:rPr>
                <w:sz w:val="20"/>
              </w:rPr>
              <w:t>Καταστάσεις στον Q-πίνακα</w:t>
            </w:r>
          </w:p>
        </w:tc>
        <w:tc>
          <w:tcPr>
            <w:tcW w:w="0" w:type="auto"/>
            <w:vAlign w:val="center"/>
          </w:tcPr>
          <w:p w14:paraId="7761D469" w14:textId="77777777" w:rsidR="002B073E" w:rsidRDefault="00000000">
            <w:pPr>
              <w:pStyle w:val="Compact"/>
              <w:jc w:val="center"/>
            </w:pPr>
            <w:r>
              <w:rPr>
                <w:sz w:val="20"/>
              </w:rPr>
              <w:t>9.030</w:t>
            </w:r>
          </w:p>
        </w:tc>
      </w:tr>
      <w:tr w:rsidR="002B073E" w14:paraId="3DAB7DE0" w14:textId="77777777" w:rsidTr="002B073E">
        <w:trPr>
          <w:cantSplit/>
          <w:jc w:val="center"/>
        </w:trPr>
        <w:tc>
          <w:tcPr>
            <w:tcW w:w="0" w:type="auto"/>
            <w:shd w:val="clear" w:color="auto" w:fill="F5F8FA"/>
            <w:vAlign w:val="center"/>
          </w:tcPr>
          <w:p w14:paraId="5AEDFAD5" w14:textId="77777777" w:rsidR="002B073E" w:rsidRDefault="00000000">
            <w:pPr>
              <w:pStyle w:val="Compact"/>
              <w:jc w:val="left"/>
            </w:pPr>
            <w:r>
              <w:rPr>
                <w:sz w:val="20"/>
              </w:rPr>
              <w:t>Καταστάσεις εκπαίδευσης του VAE</w:t>
            </w:r>
          </w:p>
        </w:tc>
        <w:tc>
          <w:tcPr>
            <w:tcW w:w="0" w:type="auto"/>
            <w:shd w:val="clear" w:color="auto" w:fill="F5F8FA"/>
            <w:vAlign w:val="center"/>
          </w:tcPr>
          <w:p w14:paraId="76BCA24E" w14:textId="77777777" w:rsidR="002B073E" w:rsidRDefault="00000000">
            <w:pPr>
              <w:pStyle w:val="Compact"/>
              <w:jc w:val="center"/>
            </w:pPr>
            <w:r>
              <w:rPr>
                <w:sz w:val="20"/>
              </w:rPr>
              <w:t>7.669</w:t>
            </w:r>
          </w:p>
        </w:tc>
      </w:tr>
      <w:tr w:rsidR="002B073E" w14:paraId="65ACA1F5" w14:textId="77777777" w:rsidTr="002B073E">
        <w:trPr>
          <w:cantSplit/>
          <w:jc w:val="center"/>
        </w:trPr>
        <w:tc>
          <w:tcPr>
            <w:tcW w:w="0" w:type="auto"/>
            <w:vAlign w:val="center"/>
          </w:tcPr>
          <w:p w14:paraId="7708D7CF" w14:textId="77777777" w:rsidR="002B073E" w:rsidRDefault="00000000">
            <w:pPr>
              <w:pStyle w:val="Compact"/>
              <w:jc w:val="left"/>
            </w:pPr>
            <w:r>
              <w:rPr>
                <w:sz w:val="20"/>
              </w:rPr>
              <w:t>Μοναδικές έγκυρες παραγόμενες καταστάσεις</w:t>
            </w:r>
          </w:p>
        </w:tc>
        <w:tc>
          <w:tcPr>
            <w:tcW w:w="0" w:type="auto"/>
            <w:vAlign w:val="center"/>
          </w:tcPr>
          <w:p w14:paraId="294C0D72" w14:textId="77777777" w:rsidR="002B073E" w:rsidRDefault="00000000">
            <w:pPr>
              <w:pStyle w:val="Compact"/>
              <w:jc w:val="center"/>
            </w:pPr>
            <w:r>
              <w:rPr>
                <w:sz w:val="20"/>
              </w:rPr>
              <w:t>5.856</w:t>
            </w:r>
          </w:p>
        </w:tc>
      </w:tr>
      <w:tr w:rsidR="002B073E" w14:paraId="5A87FBD6" w14:textId="77777777" w:rsidTr="002B073E">
        <w:trPr>
          <w:cantSplit/>
          <w:jc w:val="center"/>
        </w:trPr>
        <w:tc>
          <w:tcPr>
            <w:tcW w:w="0" w:type="auto"/>
            <w:shd w:val="clear" w:color="auto" w:fill="F5F8FA"/>
            <w:vAlign w:val="center"/>
          </w:tcPr>
          <w:p w14:paraId="2ACE2226" w14:textId="77777777" w:rsidR="002B073E" w:rsidRDefault="00000000">
            <w:pPr>
              <w:pStyle w:val="Compact"/>
              <w:jc w:val="left"/>
            </w:pPr>
            <w:r>
              <w:rPr>
                <w:sz w:val="20"/>
              </w:rPr>
              <w:t>Καταστάσεις που υπήρχαν στον Q-πίνακα</w:t>
            </w:r>
          </w:p>
        </w:tc>
        <w:tc>
          <w:tcPr>
            <w:tcW w:w="0" w:type="auto"/>
            <w:shd w:val="clear" w:color="auto" w:fill="F5F8FA"/>
            <w:vAlign w:val="center"/>
          </w:tcPr>
          <w:p w14:paraId="4100E618" w14:textId="77777777" w:rsidR="002B073E" w:rsidRDefault="00000000">
            <w:pPr>
              <w:pStyle w:val="Compact"/>
              <w:jc w:val="center"/>
            </w:pPr>
            <w:r>
              <w:rPr>
                <w:sz w:val="20"/>
              </w:rPr>
              <w:t>5.829</w:t>
            </w:r>
          </w:p>
        </w:tc>
      </w:tr>
      <w:tr w:rsidR="002B073E" w14:paraId="355A399F" w14:textId="77777777" w:rsidTr="002B073E">
        <w:trPr>
          <w:cantSplit/>
          <w:jc w:val="center"/>
        </w:trPr>
        <w:tc>
          <w:tcPr>
            <w:tcW w:w="0" w:type="auto"/>
            <w:vAlign w:val="center"/>
          </w:tcPr>
          <w:p w14:paraId="2DD527C5" w14:textId="77777777" w:rsidR="002B073E" w:rsidRDefault="00000000">
            <w:pPr>
              <w:pStyle w:val="Compact"/>
              <w:jc w:val="left"/>
            </w:pPr>
            <w:r>
              <w:rPr>
                <w:sz w:val="20"/>
              </w:rPr>
              <w:t>Καταστάσεις εκτός Q-πίνακα</w:t>
            </w:r>
          </w:p>
        </w:tc>
        <w:tc>
          <w:tcPr>
            <w:tcW w:w="0" w:type="auto"/>
            <w:vAlign w:val="center"/>
          </w:tcPr>
          <w:p w14:paraId="6563810A" w14:textId="77777777" w:rsidR="002B073E" w:rsidRDefault="00000000">
            <w:pPr>
              <w:pStyle w:val="Compact"/>
              <w:jc w:val="center"/>
            </w:pPr>
            <w:r>
              <w:rPr>
                <w:sz w:val="20"/>
              </w:rPr>
              <w:t>27</w:t>
            </w:r>
          </w:p>
        </w:tc>
      </w:tr>
      <w:tr w:rsidR="002B073E" w14:paraId="77BEFC7A" w14:textId="77777777" w:rsidTr="002B073E">
        <w:trPr>
          <w:cantSplit/>
          <w:jc w:val="center"/>
        </w:trPr>
        <w:tc>
          <w:tcPr>
            <w:tcW w:w="0" w:type="auto"/>
            <w:shd w:val="clear" w:color="auto" w:fill="F5F8FA"/>
            <w:vAlign w:val="center"/>
          </w:tcPr>
          <w:p w14:paraId="61614C32" w14:textId="77777777" w:rsidR="002B073E" w:rsidRDefault="00000000">
            <w:pPr>
              <w:pStyle w:val="Compact"/>
              <w:jc w:val="left"/>
            </w:pPr>
            <w:r>
              <w:rPr>
                <w:sz w:val="20"/>
              </w:rPr>
              <w:t>Καταστάσεις που υπήρχαν στο VAE training set</w:t>
            </w:r>
          </w:p>
        </w:tc>
        <w:tc>
          <w:tcPr>
            <w:tcW w:w="0" w:type="auto"/>
            <w:shd w:val="clear" w:color="auto" w:fill="F5F8FA"/>
            <w:vAlign w:val="center"/>
          </w:tcPr>
          <w:p w14:paraId="6CB50648" w14:textId="77777777" w:rsidR="002B073E" w:rsidRDefault="00000000">
            <w:pPr>
              <w:pStyle w:val="Compact"/>
              <w:jc w:val="center"/>
            </w:pPr>
            <w:r>
              <w:rPr>
                <w:sz w:val="20"/>
              </w:rPr>
              <w:t>4.109</w:t>
            </w:r>
          </w:p>
        </w:tc>
      </w:tr>
      <w:tr w:rsidR="002B073E" w14:paraId="74B8E446" w14:textId="77777777" w:rsidTr="002B073E">
        <w:trPr>
          <w:cantSplit/>
          <w:jc w:val="center"/>
        </w:trPr>
        <w:tc>
          <w:tcPr>
            <w:tcW w:w="0" w:type="auto"/>
            <w:vAlign w:val="center"/>
          </w:tcPr>
          <w:p w14:paraId="74E8CC21" w14:textId="77777777" w:rsidR="002B073E" w:rsidRDefault="00000000">
            <w:pPr>
              <w:pStyle w:val="Compact"/>
              <w:jc w:val="left"/>
            </w:pPr>
            <w:r>
              <w:rPr>
                <w:sz w:val="20"/>
              </w:rPr>
              <w:t>Καταστάσεις εκτός VAE training set</w:t>
            </w:r>
          </w:p>
        </w:tc>
        <w:tc>
          <w:tcPr>
            <w:tcW w:w="0" w:type="auto"/>
            <w:vAlign w:val="center"/>
          </w:tcPr>
          <w:p w14:paraId="21EBF8EA" w14:textId="77777777" w:rsidR="002B073E" w:rsidRDefault="00000000">
            <w:pPr>
              <w:pStyle w:val="Compact"/>
              <w:jc w:val="center"/>
            </w:pPr>
            <w:r>
              <w:rPr>
                <w:sz w:val="20"/>
              </w:rPr>
              <w:t>1.747</w:t>
            </w:r>
          </w:p>
        </w:tc>
      </w:tr>
    </w:tbl>
    <w:p w14:paraId="741A4544" w14:textId="77777777" w:rsidR="002B073E" w:rsidRDefault="00000000">
      <w:pPr>
        <w:pStyle w:val="a0"/>
      </w:pPr>
      <w:r>
        <w:t>Το ποσοστό των μοναδικών έγκυρων καταστάσεων που υπήρχαν ήδη στον Q-πίνακα ήταν:</w:t>
      </w:r>
    </w:p>
    <w:p w14:paraId="2EE03B03" w14:textId="77777777" w:rsidR="002B073E" w:rsidRDefault="00000000">
      <w:pPr>
        <w:pStyle w:val="a0"/>
        <w:spacing w:before="100" w:after="100"/>
        <w:jc w:val="center"/>
      </w:pPr>
      <m:oMathPara>
        <m:oMathParaPr>
          <m:jc m:val="center"/>
        </m:oMathParaPr>
        <m:oMath>
          <m:f>
            <m:fPr>
              <m:ctrlPr>
                <w:rPr>
                  <w:rFonts w:ascii="Cambria Math" w:hAnsi="Cambria Math"/>
                </w:rPr>
              </m:ctrlPr>
            </m:fPr>
            <m:num>
              <m:r>
                <w:rPr>
                  <w:rFonts w:ascii="Cambria Math" w:hAnsi="Cambria Math"/>
                </w:rPr>
                <m:t>5 829</m:t>
              </m:r>
            </m:num>
            <m:den>
              <m:r>
                <w:rPr>
                  <w:rFonts w:ascii="Cambria Math" w:hAnsi="Cambria Math"/>
                </w:rPr>
                <m:t>5 856</m:t>
              </m:r>
            </m:den>
          </m:f>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99.54</m:t>
          </m:r>
          <m:r>
            <m:rPr>
              <m:sty m:val="p"/>
            </m:rPr>
            <w:rPr>
              <w:rFonts w:ascii="Cambria Math" w:hAnsi="Cambria Math"/>
            </w:rPr>
            <m:t>%.</m:t>
          </m:r>
        </m:oMath>
      </m:oMathPara>
    </w:p>
    <w:p w14:paraId="6B44BEEC" w14:textId="77777777" w:rsidR="002B073E" w:rsidRDefault="00000000">
      <w:pPr>
        <w:pStyle w:val="FirstParagraph"/>
      </w:pPr>
      <w:r>
        <w:t xml:space="preserve">Μόνο 27 από τις 5.856 μοναδικές έγκυρες καταστάσεις δεν διέθεταν Q-row. Το αποτέλεσμα δείχνει ότι ο Q-πίνακας είχε πολύ μεγάλη κάλυψη του χώρου των συνηθισμένων καταστάσεων του παιχνιδιού </w:t>
      </w:r>
      <m:oMath>
        <m:r>
          <w:rPr>
            <w:rFonts w:ascii="Cambria Math" w:hAnsi="Cambria Math"/>
          </w:rPr>
          <m:t>3</m:t>
        </m:r>
        <m:r>
          <m:rPr>
            <m:sty m:val="p"/>
          </m:rPr>
          <w:rPr>
            <w:rFonts w:ascii="Cambria Math" w:hAnsi="Cambria Math"/>
          </w:rPr>
          <m:t>×</m:t>
        </m:r>
        <m:r>
          <w:rPr>
            <w:rFonts w:ascii="Cambria Math" w:hAnsi="Cambria Math"/>
          </w:rPr>
          <m:t>3</m:t>
        </m:r>
      </m:oMath>
      <w:r>
        <w:t>.</w:t>
      </w:r>
    </w:p>
    <w:p w14:paraId="475D65F6" w14:textId="77777777" w:rsidR="002B073E" w:rsidRDefault="00000000">
      <w:pPr>
        <w:pStyle w:val="a0"/>
      </w:pPr>
      <w:r>
        <w:lastRenderedPageBreak/>
        <w:t>Παράλληλα, 1.747 καταστάσεις δεν υπήρχαν στο training set του VAE. Ωστόσο, ο ορισμός της unseen κατάστασης στο συγκεκριμένο πείραμα βασίστηκε αποκλειστικά στην απουσία Q-row:</w:t>
      </w:r>
    </w:p>
    <w:p w14:paraId="651D5C84" w14:textId="77777777" w:rsidR="002B073E" w:rsidRDefault="00000000">
      <w:pPr>
        <w:pStyle w:val="a0"/>
        <w:spacing w:before="100" w:after="100"/>
        <w:jc w:val="center"/>
      </w:pPr>
      <m:oMathPara>
        <m:oMathParaPr>
          <m:jc m:val="center"/>
        </m:oMathParaPr>
        <m:oMath>
          <m:r>
            <w:rPr>
              <w:rFonts w:ascii="Cambria Math" w:hAnsi="Cambria Math"/>
            </w:rPr>
            <m:t>s</m:t>
          </m:r>
          <m:r>
            <m:rPr>
              <m:sty m:val="p"/>
            </m:rPr>
            <w:rPr>
              <w:rFonts w:ascii="Cambria Math" w:hAnsi="Cambria Math"/>
            </w:rPr>
            <m:t>∉keys</m:t>
          </m:r>
          <m:d>
            <m:dPr>
              <m:ctrlPr>
                <w:rPr>
                  <w:rFonts w:ascii="Cambria Math" w:hAnsi="Cambria Math"/>
                </w:rPr>
              </m:ctrlPr>
            </m:dPr>
            <m:e>
              <m:r>
                <w:rPr>
                  <w:rFonts w:ascii="Cambria Math" w:hAnsi="Cambria Math"/>
                </w:rPr>
                <m:t>Q</m:t>
              </m:r>
            </m:e>
          </m:d>
          <m:r>
            <m:rPr>
              <m:sty m:val="p"/>
            </m:rPr>
            <w:rPr>
              <w:rFonts w:ascii="Cambria Math" w:hAnsi="Cambria Math"/>
            </w:rPr>
            <m:t>.</m:t>
          </m:r>
        </m:oMath>
      </m:oMathPara>
    </w:p>
    <w:p w14:paraId="32731F1A" w14:textId="77777777" w:rsidR="002B073E" w:rsidRDefault="00000000">
      <w:pPr>
        <w:pStyle w:val="FirstParagraph"/>
      </w:pPr>
      <w:r>
        <w:t>Ο ορισμός αυτός είναι απαραίτητος, επειδή μόνο τότε ο tabular agent δεν διαθέτει πραγματικά εκπαιδευμένη πληροφορία για τη συγκεκριμένη κατάσταση.</w:t>
      </w:r>
    </w:p>
    <w:p w14:paraId="057CF88C" w14:textId="77777777" w:rsidR="002B073E" w:rsidRDefault="00000000">
      <w:pPr>
        <w:pStyle w:val="2"/>
      </w:pPr>
      <w:bookmarkStart w:id="18" w:name="εκτίμηση-q-τιμών-μέσω-του-latent-χώρου"/>
      <w:bookmarkEnd w:id="17"/>
      <w:r>
        <w:t>2.4.5 Εκτίμηση Q-τιμών μέσω του latent χώρου</w:t>
      </w:r>
    </w:p>
    <w:p w14:paraId="2657CD01" w14:textId="77777777" w:rsidR="002B073E" w:rsidRDefault="00000000">
      <w:pPr>
        <w:pStyle w:val="FirstParagraph"/>
      </w:pPr>
      <w:r>
        <w:t xml:space="preserve">Για κάθε unseen κατάσταση </w:t>
      </w:r>
      <m:oMath>
        <m:r>
          <w:rPr>
            <w:rFonts w:ascii="Cambria Math" w:hAnsi="Cambria Math"/>
          </w:rPr>
          <m:t>s</m:t>
        </m:r>
      </m:oMath>
      <w:r>
        <w:t>, ο encoder του VAE υπολογίζει τη μέση τιμή της posterior latent αναπαράστασης:</w:t>
      </w:r>
    </w:p>
    <w:p w14:paraId="11607768" w14:textId="77777777" w:rsidR="002B073E" w:rsidRDefault="00000000">
      <w:pPr>
        <w:pStyle w:val="a0"/>
        <w:spacing w:before="100" w:after="100"/>
        <w:jc w:val="center"/>
      </w:pPr>
      <m:oMathPara>
        <m:oMathParaPr>
          <m:jc m:val="center"/>
        </m:oMathParaPr>
        <m:oMath>
          <m:sSub>
            <m:sSubPr>
              <m:ctrlPr>
                <w:rPr>
                  <w:rFonts w:ascii="Cambria Math" w:hAnsi="Cambria Math"/>
                </w:rPr>
              </m:ctrlPr>
            </m:sSubPr>
            <m:e>
              <m:r>
                <w:rPr>
                  <w:rFonts w:ascii="Cambria Math" w:hAnsi="Cambria Math"/>
                </w:rPr>
                <m:t>μ</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ϕ</m:t>
              </m:r>
            </m:sub>
          </m:sSub>
          <m:d>
            <m:dPr>
              <m:ctrlPr>
                <w:rPr>
                  <w:rFonts w:ascii="Cambria Math" w:hAnsi="Cambria Math"/>
                </w:rPr>
              </m:ctrlPr>
            </m:dPr>
            <m:e>
              <m:r>
                <w:rPr>
                  <w:rFonts w:ascii="Cambria Math" w:hAnsi="Cambria Math"/>
                </w:rPr>
                <m:t>s</m:t>
              </m:r>
            </m:e>
          </m:d>
          <m:r>
            <m:rPr>
              <m:sty m:val="p"/>
            </m:rPr>
            <w:rPr>
              <w:rFonts w:ascii="Cambria Math" w:hAnsi="Cambria Math"/>
            </w:rPr>
            <m:t>.</m:t>
          </m:r>
        </m:oMath>
      </m:oMathPara>
    </w:p>
    <w:p w14:paraId="3CD194AB" w14:textId="77777777" w:rsidR="002B073E" w:rsidRDefault="00000000">
      <w:pPr>
        <w:pStyle w:val="FirstParagraph"/>
      </w:pPr>
      <w:r>
        <w:t xml:space="preserve">Ως σύνολο αναφοράς χρησιμοποιούνται αποκλειστικά οι καταστάσεις που υπάρχουν στον Q-πίνακα. Για κάθε γνωστή κατάσταση </w:t>
      </w:r>
      <m:oMath>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υπολογίζεται αντίστοιχα:</w:t>
      </w:r>
    </w:p>
    <w:p w14:paraId="4F412D53" w14:textId="77777777" w:rsidR="002B073E" w:rsidRDefault="00000000">
      <w:pPr>
        <w:pStyle w:val="a0"/>
        <w:spacing w:before="100" w:after="100"/>
        <w:jc w:val="center"/>
      </w:pPr>
      <m:oMathPara>
        <m:oMathParaPr>
          <m:jc m:val="center"/>
        </m:oMathParaPr>
        <m:oMath>
          <m:sSub>
            <m:sSubPr>
              <m:ctrlPr>
                <w:rPr>
                  <w:rFonts w:ascii="Cambria Math" w:hAnsi="Cambria Math"/>
                </w:rPr>
              </m:ctrlPr>
            </m:sSubPr>
            <m:e>
              <m:r>
                <w:rPr>
                  <w:rFonts w:ascii="Cambria Math" w:hAnsi="Cambria Math"/>
                </w:rPr>
                <m:t>μ</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ϕ</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e>
          </m:d>
          <m:r>
            <m:rPr>
              <m:sty m:val="p"/>
            </m:rPr>
            <w:rPr>
              <w:rFonts w:ascii="Cambria Math" w:hAnsi="Cambria Math"/>
            </w:rPr>
            <m:t>.</m:t>
          </m:r>
        </m:oMath>
      </m:oMathPara>
    </w:p>
    <w:p w14:paraId="1274B4C1" w14:textId="77777777" w:rsidR="002B073E" w:rsidRDefault="00000000">
      <w:pPr>
        <w:pStyle w:val="FirstParagraph"/>
      </w:pPr>
      <w:r>
        <w:t xml:space="preserve">Η ευκλείδεια απόσταση μεταξύ της unseen κατάστασης και της γνωστής κατάστασης </w:t>
      </w:r>
      <m:oMath>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είναι:</w:t>
      </w:r>
    </w:p>
    <w:p w14:paraId="2246FD4C" w14:textId="77777777" w:rsidR="002B073E" w:rsidRDefault="00000000">
      <w:pPr>
        <w:pStyle w:val="a0"/>
        <w:spacing w:before="100" w:after="100"/>
        <w:jc w:val="center"/>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e>
              </m:d>
            </m:e>
            <m:sub>
              <m:r>
                <w:rPr>
                  <w:rFonts w:ascii="Cambria Math" w:hAnsi="Cambria Math"/>
                </w:rPr>
                <m:t>2</m:t>
              </m:r>
            </m:sub>
          </m:sSub>
          <m:r>
            <m:rPr>
              <m:sty m:val="p"/>
            </m:rPr>
            <w:rPr>
              <w:rFonts w:ascii="Cambria Math" w:hAnsi="Cambria Math"/>
            </w:rPr>
            <m:t>.</m:t>
          </m:r>
        </m:oMath>
      </m:oMathPara>
    </w:p>
    <w:p w14:paraId="18701465" w14:textId="77777777" w:rsidR="002B073E" w:rsidRDefault="00000000">
      <w:pPr>
        <w:pStyle w:val="FirstParagraph"/>
      </w:pPr>
      <w:r>
        <w:t>Στη συνέχεια επιλέγονται οι:</w:t>
      </w:r>
    </w:p>
    <w:p w14:paraId="1ECB1A9E" w14:textId="77777777" w:rsidR="002B073E" w:rsidRDefault="00000000">
      <w:pPr>
        <w:pStyle w:val="a0"/>
        <w:spacing w:before="100" w:after="100"/>
        <w:jc w:val="center"/>
      </w:pPr>
      <m:oMathPara>
        <m:oMathParaPr>
          <m:jc m:val="center"/>
        </m:oMathParaPr>
        <m:oMath>
          <m:r>
            <w:rPr>
              <w:rFonts w:ascii="Cambria Math" w:hAnsi="Cambria Math"/>
            </w:rPr>
            <m:t>K</m:t>
          </m:r>
          <m:r>
            <m:rPr>
              <m:sty m:val="p"/>
            </m:rPr>
            <w:rPr>
              <w:rFonts w:ascii="Cambria Math" w:hAnsi="Cambria Math"/>
            </w:rPr>
            <m:t>=</m:t>
          </m:r>
          <m:r>
            <w:rPr>
              <w:rFonts w:ascii="Cambria Math" w:hAnsi="Cambria Math"/>
            </w:rPr>
            <m:t>10</m:t>
          </m:r>
        </m:oMath>
      </m:oMathPara>
    </w:p>
    <w:p w14:paraId="70C8F484" w14:textId="77777777" w:rsidR="002B073E" w:rsidRDefault="00000000">
      <w:pPr>
        <w:pStyle w:val="FirstParagraph"/>
      </w:pPr>
      <w:r>
        <w:t>κοντινότεροι γείτονες.</w:t>
      </w:r>
    </w:p>
    <w:p w14:paraId="685952FA" w14:textId="77777777" w:rsidR="002B073E" w:rsidRDefault="00000000">
      <w:pPr>
        <w:pStyle w:val="a0"/>
      </w:pPr>
      <w:r>
        <w:t>Για κάθε γείτονα χρησιμοποιείται βάρος:</w:t>
      </w:r>
    </w:p>
    <w:p w14:paraId="45D137BB" w14:textId="77777777" w:rsidR="002B073E" w:rsidRDefault="00000000">
      <w:pPr>
        <w:pStyle w:val="a0"/>
        <w:spacing w:before="100" w:after="100"/>
        <w:jc w:val="center"/>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2</m:t>
                      </m:r>
                    </m:sup>
                  </m:sSubSup>
                </m:num>
                <m:den>
                  <m:sSup>
                    <m:sSupPr>
                      <m:ctrlPr>
                        <w:rPr>
                          <w:rFonts w:ascii="Cambria Math" w:hAnsi="Cambria Math"/>
                        </w:rPr>
                      </m:ctrlPr>
                    </m:sSupPr>
                    <m:e>
                      <m:r>
                        <w:rPr>
                          <w:rFonts w:ascii="Cambria Math" w:hAnsi="Cambria Math"/>
                        </w:rPr>
                        <m:t>σ</m:t>
                      </m:r>
                    </m:e>
                    <m:sup>
                      <m:r>
                        <w:rPr>
                          <w:rFonts w:ascii="Cambria Math" w:hAnsi="Cambria Math"/>
                        </w:rPr>
                        <m:t>2</m:t>
                      </m:r>
                    </m:sup>
                  </m:sSup>
                </m:den>
              </m:f>
            </m:e>
          </m:d>
          <m:r>
            <m:rPr>
              <m:sty m:val="p"/>
            </m:rPr>
            <w:rPr>
              <w:rFonts w:ascii="Cambria Math" w:hAnsi="Cambria Math"/>
            </w:rPr>
            <m:t>,</m:t>
          </m:r>
        </m:oMath>
      </m:oMathPara>
    </w:p>
    <w:p w14:paraId="0653E4E4" w14:textId="77777777" w:rsidR="002B073E" w:rsidRDefault="00000000">
      <w:pPr>
        <w:pStyle w:val="FirstParagraph"/>
      </w:pPr>
      <w:r>
        <w:t xml:space="preserve">όπου </w:t>
      </w:r>
      <m:oMath>
        <m:r>
          <w:rPr>
            <w:rFonts w:ascii="Cambria Math" w:hAnsi="Cambria Math"/>
          </w:rPr>
          <m:t>σ</m:t>
        </m:r>
      </m:oMath>
      <w:r>
        <w:t xml:space="preserve"> είναι η διάμεσος των αποστάσεων των δέκα κοντινότερων γειτόνων:</w:t>
      </w:r>
    </w:p>
    <w:p w14:paraId="5B80BE24" w14:textId="77777777" w:rsidR="002B073E" w:rsidRDefault="00000000">
      <w:pPr>
        <w:pStyle w:val="a0"/>
        <w:spacing w:before="100" w:after="100"/>
        <w:jc w:val="center"/>
      </w:pPr>
      <m:oMathPara>
        <m:oMathParaPr>
          <m:jc m:val="center"/>
        </m:oMathParaPr>
        <m:oMath>
          <m:r>
            <w:rPr>
              <w:rFonts w:ascii="Cambria Math" w:hAnsi="Cambria Math"/>
            </w:rPr>
            <m:t>σ</m:t>
          </m:r>
          <m:r>
            <m:rPr>
              <m:sty m:val="p"/>
            </m:rPr>
            <w:rPr>
              <w:rFonts w:ascii="Cambria Math" w:hAnsi="Cambria Math"/>
            </w:rPr>
            <m:t>=median</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e>
          </m:d>
          <m:r>
            <m:rPr>
              <m:sty m:val="p"/>
            </m:rPr>
            <w:rPr>
              <w:rFonts w:ascii="Cambria Math" w:hAnsi="Cambria Math"/>
            </w:rPr>
            <m:t>+</m:t>
          </m:r>
          <m:r>
            <w:rPr>
              <w:rFonts w:ascii="Cambria Math" w:hAnsi="Cambria Math"/>
            </w:rPr>
            <m:t>ε</m:t>
          </m:r>
          <m:r>
            <m:rPr>
              <m:sty m:val="p"/>
            </m:rPr>
            <w:rPr>
              <w:rFonts w:ascii="Cambria Math" w:hAnsi="Cambria Math"/>
            </w:rPr>
            <m:t>.</m:t>
          </m:r>
        </m:oMath>
      </m:oMathPara>
    </w:p>
    <w:p w14:paraId="750B5792" w14:textId="77777777" w:rsidR="002B073E" w:rsidRDefault="00000000">
      <w:pPr>
        <w:pStyle w:val="FirstParagraph"/>
      </w:pPr>
      <w:r>
        <w:t xml:space="preserve">Η μικρή σταθερά </w:t>
      </w:r>
      <m:oMath>
        <m:r>
          <w:rPr>
            <w:rFonts w:ascii="Cambria Math" w:hAnsi="Cambria Math"/>
          </w:rPr>
          <m:t>ε</m:t>
        </m:r>
      </m:oMath>
      <w:r>
        <w:t xml:space="preserve"> χρησιμοποιείται ώστε να αποφεύγεται η διαίρεση με το μηδέν.</w:t>
      </w:r>
    </w:p>
    <w:p w14:paraId="4F2B7CD7" w14:textId="77777777" w:rsidR="002B073E" w:rsidRDefault="00000000">
      <w:pPr>
        <w:pStyle w:val="a0"/>
      </w:pPr>
      <w:r>
        <w:t xml:space="preserve">Η εκτιμώμενη Q-τιμή για μία νόμιμη ενέργεια </w:t>
      </w:r>
      <m:oMath>
        <m:r>
          <w:rPr>
            <w:rFonts w:ascii="Cambria Math" w:hAnsi="Cambria Math"/>
          </w:rPr>
          <m:t>a</m:t>
        </m:r>
      </m:oMath>
      <w:r>
        <w:t xml:space="preserve"> υπολογίζεται ως:</w:t>
      </w:r>
    </w:p>
    <w:p w14:paraId="5261273C" w14:textId="77777777" w:rsidR="002B073E" w:rsidRDefault="00000000">
      <w:pPr>
        <w:pStyle w:val="a0"/>
        <w:spacing w:before="100" w:after="100"/>
        <w:jc w:val="center"/>
      </w:pPr>
      <m:oMathPara>
        <m:oMathParaPr>
          <m:jc m:val="center"/>
        </m:oMathParaPr>
        <m:oMath>
          <m:acc>
            <m:accPr>
              <m:chr m:val="̃"/>
              <m:ctrlPr>
                <w:rPr>
                  <w:rFonts w:ascii="Cambria Math" w:hAnsi="Cambria Math"/>
                </w:rPr>
              </m:ctrlPr>
            </m:accPr>
            <m:e>
              <m:r>
                <w:rPr>
                  <w:rFonts w:ascii="Cambria Math" w:hAnsi="Cambria Math"/>
                </w:rPr>
                <m:t>Q</m:t>
              </m:r>
            </m:e>
          </m:acc>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N</m:t>
                      </m:r>
                    </m:e>
                    <m:sub>
                      <m:r>
                        <w:rPr>
                          <w:rFonts w:ascii="Cambria Math" w:hAnsi="Cambria Math"/>
                        </w:rPr>
                        <m:t>K</m:t>
                      </m:r>
                    </m:sub>
                  </m:sSub>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r>
                <w:rPr>
                  <w:rFonts w:ascii="Cambria Math" w:hAnsi="Cambria Math"/>
                </w:rPr>
                <m:t>Q</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r>
                    <w:rPr>
                      <w:rFonts w:ascii="Cambria Math" w:hAnsi="Cambria Math"/>
                    </w:rPr>
                    <m:t>a</m:t>
                  </m:r>
                </m:e>
              </m:d>
            </m:num>
            <m:den>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N</m:t>
                      </m:r>
                    </m:e>
                    <m:sub>
                      <m:r>
                        <w:rPr>
                          <w:rFonts w:ascii="Cambria Math" w:hAnsi="Cambria Math"/>
                        </w:rPr>
                        <m:t>K</m:t>
                      </m:r>
                    </m:sub>
                  </m:sSub>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den>
          </m:f>
          <m:r>
            <m:rPr>
              <m:sty m:val="p"/>
            </m:rPr>
            <w:rPr>
              <w:rFonts w:ascii="Cambria Math" w:hAnsi="Cambria Math"/>
            </w:rPr>
            <m:t>.</m:t>
          </m:r>
        </m:oMath>
      </m:oMathPara>
    </w:p>
    <w:p w14:paraId="742B0E8C" w14:textId="77777777" w:rsidR="002B073E" w:rsidRDefault="00000000">
      <w:pPr>
        <w:pStyle w:val="FirstParagraph"/>
      </w:pPr>
      <w:r>
        <w:t xml:space="preserve">Το σύνολο </w:t>
      </w:r>
      <m:oMath>
        <m:sSub>
          <m:sSubPr>
            <m:ctrlPr>
              <w:rPr>
                <w:rFonts w:ascii="Cambria Math" w:hAnsi="Cambria Math"/>
              </w:rPr>
            </m:ctrlPr>
          </m:sSubPr>
          <m:e>
            <m:r>
              <m:rPr>
                <m:scr m:val="script"/>
                <m:sty m:val="p"/>
              </m:rPr>
              <w:rPr>
                <w:rFonts w:ascii="Cambria Math" w:hAnsi="Cambria Math"/>
              </w:rPr>
              <m:t>N</m:t>
            </m:r>
          </m:e>
          <m:sub>
            <m:r>
              <w:rPr>
                <w:rFonts w:ascii="Cambria Math" w:hAnsi="Cambria Math"/>
              </w:rPr>
              <m:t>K</m:t>
            </m:r>
          </m:sub>
        </m:sSub>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oMath>
      <w:r>
        <w:t xml:space="preserve"> περιλαμβάνει μόνο τους κοντινότερους γείτονες στους οποίους υπάρχει η ενέργεια </w:t>
      </w:r>
      <m:oMath>
        <m:r>
          <w:rPr>
            <w:rFonts w:ascii="Cambria Math" w:hAnsi="Cambria Math"/>
          </w:rPr>
          <m:t>a</m:t>
        </m:r>
      </m:oMath>
      <w:r>
        <w:t>. Ένας γείτονας στον οποίο η ενέργεια δεν είναι διαθέσιμη δεν συμμετέχει ούτε στον αριθμητή ούτε στον παρονομαστή.</w:t>
      </w:r>
    </w:p>
    <w:p w14:paraId="32DA0453" w14:textId="77777777" w:rsidR="002B073E" w:rsidRDefault="00000000">
      <w:pPr>
        <w:pStyle w:val="a0"/>
      </w:pPr>
      <w:r>
        <w:t>Η τελική ενέργεια του VAE-based agent επιλέγεται από:</w:t>
      </w:r>
    </w:p>
    <w:p w14:paraId="70E4BA8B" w14:textId="77777777" w:rsidR="002B073E" w:rsidRDefault="00000000">
      <w:pPr>
        <w:pStyle w:val="a0"/>
        <w:spacing w:before="100" w:after="100"/>
        <w:jc w:val="center"/>
      </w:pPr>
      <m:oMathPara>
        <m:oMathParaPr>
          <m:jc m:val="center"/>
        </m:oMathParaPr>
        <m:oMath>
          <m:sSub>
            <m:sSubPr>
              <m:ctrlPr>
                <w:rPr>
                  <w:rFonts w:ascii="Cambria Math" w:hAnsi="Cambria Math"/>
                </w:rPr>
              </m:ctrlPr>
            </m:sSubPr>
            <m:e>
              <m:r>
                <w:rPr>
                  <w:rFonts w:ascii="Cambria Math" w:hAnsi="Cambria Math"/>
                </w:rPr>
                <m:t>a</m:t>
              </m:r>
            </m:e>
            <m:sub>
              <m:r>
                <m:rPr>
                  <m:sty m:val="p"/>
                </m:rPr>
                <w:rPr>
                  <w:rFonts w:ascii="Cambria Math" w:hAnsi="Cambria Math"/>
                </w:rPr>
                <m:t>VAE</m:t>
              </m:r>
            </m:sub>
          </m:sSub>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legal</m:t>
                  </m:r>
                </m:sub>
              </m:sSub>
              <m:d>
                <m:dPr>
                  <m:ctrlPr>
                    <w:rPr>
                      <w:rFonts w:ascii="Cambria Math" w:hAnsi="Cambria Math"/>
                    </w:rPr>
                  </m:ctrlPr>
                </m:dPr>
                <m:e>
                  <m:r>
                    <w:rPr>
                      <w:rFonts w:ascii="Cambria Math" w:hAnsi="Cambria Math"/>
                    </w:rPr>
                    <m:t>s</m:t>
                  </m:r>
                </m:e>
              </m:d>
            </m:lim>
          </m:limLow>
          <m:acc>
            <m:accPr>
              <m:chr m:val="̃"/>
              <m:ctrlPr>
                <w:rPr>
                  <w:rFonts w:ascii="Cambria Math" w:hAnsi="Cambria Math"/>
                </w:rPr>
              </m:ctrlPr>
            </m:accPr>
            <m:e>
              <m:r>
                <w:rPr>
                  <w:rFonts w:ascii="Cambria Math" w:hAnsi="Cambria Math"/>
                </w:rPr>
                <m:t>Q</m:t>
              </m:r>
            </m:e>
          </m:acc>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r>
            <m:rPr>
              <m:sty m:val="p"/>
            </m:rPr>
            <w:rPr>
              <w:rFonts w:ascii="Cambria Math" w:hAnsi="Cambria Math"/>
            </w:rPr>
            <m:t>.</m:t>
          </m:r>
        </m:oMath>
      </m:oMathPara>
    </w:p>
    <w:p w14:paraId="11D550E6" w14:textId="77777777" w:rsidR="002B073E" w:rsidRDefault="00000000">
      <w:pPr>
        <w:pStyle w:val="FirstParagraph"/>
      </w:pPr>
      <w:r>
        <w:lastRenderedPageBreak/>
        <w:t>Με αυτόν τον τρόπο, η απουσία Q-row αντιμετωπίζεται μέσω μεταφοράς γνώσης από καταστάσεις που βρίσκονται κοντά στον λανθάνοντα χώρο.</w:t>
      </w:r>
    </w:p>
    <w:p w14:paraId="3F8D3855" w14:textId="77777777" w:rsidR="002B073E" w:rsidRDefault="00000000">
      <w:pPr>
        <w:pStyle w:val="2"/>
      </w:pPr>
      <w:bookmarkStart w:id="19" w:name="κριτήριο-ασφαλούς-ενέργειας"/>
      <w:bookmarkEnd w:id="18"/>
      <w:r>
        <w:t>2.4.6 Κριτήριο ασφαλούς ενέργειας</w:t>
      </w:r>
    </w:p>
    <w:p w14:paraId="27B6F83C" w14:textId="77777777" w:rsidR="002B073E" w:rsidRDefault="00000000">
      <w:pPr>
        <w:pStyle w:val="FirstParagraph"/>
      </w:pPr>
      <w:r>
        <w:t>Μία ενέργεια χαρακτηρίζεται ασφαλής όταν, μετά την εκτέλεσή της, ο αντίπαλος δεν διαθέτει άμεση κίνηση νίκης. Αν η ενέργεια οδηγεί άμεσα σε νίκη του agent ή σε ισοπαλία, θεωρείται ασφαλής. Διαφορετικά εξετάζονται όλες οι νόμιμες απαντήσεις του αντιπάλου.</w:t>
      </w:r>
    </w:p>
    <w:p w14:paraId="315DEA18" w14:textId="77777777" w:rsidR="002B073E" w:rsidRDefault="00000000">
      <w:pPr>
        <w:pStyle w:val="a0"/>
      </w:pPr>
      <w:r>
        <w:t>Ο έλεγχος μπορεί να συνοψιστεί ως:</w:t>
      </w:r>
    </w:p>
    <w:p w14:paraId="7AEA5B74" w14:textId="77777777" w:rsidR="002B073E" w:rsidRDefault="00000000">
      <w:pPr>
        <w:pStyle w:val="a0"/>
        <w:spacing w:before="100" w:after="100"/>
        <w:jc w:val="center"/>
      </w:pPr>
      <m:oMathPara>
        <m:oMathParaPr>
          <m:jc m:val="center"/>
        </m:oMathParaPr>
        <m:oMath>
          <m:r>
            <m:rPr>
              <m:sty m:val="p"/>
            </m:rPr>
            <w:rPr>
              <w:rFonts w:ascii="Cambria Math" w:hAnsi="Cambria Math"/>
            </w:rPr>
            <m:t>Safe</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r>
                      <m:rPr>
                        <m:sty m:val="p"/>
                      </m:rPr>
                      <w:rPr>
                        <w:rFonts w:ascii="Cambria Math" w:hAnsi="Cambria Math"/>
                      </w:rPr>
                      <m:t>,</m:t>
                    </m:r>
                  </m:e>
                  <m:e>
                    <m:r>
                      <m:rPr>
                        <m:nor/>
                      </m:rPr>
                      <m:t>αν η ενέργεια τερματίζει το παιχνίδι χωρίς ήττα</m:t>
                    </m:r>
                    <m:r>
                      <m:rPr>
                        <m:sty m:val="p"/>
                      </m:rPr>
                      <w:rPr>
                        <w:rFonts w:ascii="Cambria Math" w:hAnsi="Cambria Math"/>
                      </w:rPr>
                      <m:t>,</m:t>
                    </m:r>
                  </m:e>
                </m:mr>
                <m:mr>
                  <m:e>
                    <m:r>
                      <w:rPr>
                        <w:rFonts w:ascii="Cambria Math" w:hAnsi="Cambria Math"/>
                      </w:rPr>
                      <m:t>1</m:t>
                    </m:r>
                    <m:r>
                      <m:rPr>
                        <m:sty m:val="p"/>
                      </m:rPr>
                      <w:rPr>
                        <w:rFonts w:ascii="Cambria Math" w:hAnsi="Cambria Math"/>
                      </w:rPr>
                      <m:t>,</m:t>
                    </m:r>
                  </m:e>
                  <m:e>
                    <m:r>
                      <m:rPr>
                        <m:nor/>
                      </m:rPr>
                      <m:t>αν καμία νόμιμη απάντηση δεν δίνει άμεση νίκη στον αντίπαλο</m:t>
                    </m:r>
                    <m:r>
                      <m:rPr>
                        <m:sty m:val="p"/>
                      </m:rPr>
                      <w:rPr>
                        <w:rFonts w:ascii="Cambria Math" w:hAnsi="Cambria Math"/>
                      </w:rPr>
                      <m:t>,</m:t>
                    </m:r>
                  </m:e>
                </m:mr>
                <m:mr>
                  <m:e>
                    <m:r>
                      <w:rPr>
                        <w:rFonts w:ascii="Cambria Math" w:hAnsi="Cambria Math"/>
                      </w:rPr>
                      <m:t>0</m:t>
                    </m:r>
                    <m:r>
                      <m:rPr>
                        <m:sty m:val="p"/>
                      </m:rPr>
                      <w:rPr>
                        <w:rFonts w:ascii="Cambria Math" w:hAnsi="Cambria Math"/>
                      </w:rPr>
                      <m:t>,</m:t>
                    </m:r>
                  </m:e>
                  <m:e>
                    <m:r>
                      <m:rPr>
                        <m:nor/>
                      </m:rPr>
                      <m:t>διαφορετικά</m:t>
                    </m:r>
                    <m:r>
                      <m:rPr>
                        <m:sty m:val="p"/>
                      </m:rPr>
                      <w:rPr>
                        <w:rFonts w:ascii="Cambria Math" w:hAnsi="Cambria Math"/>
                      </w:rPr>
                      <m:t>.</m:t>
                    </m:r>
                  </m:e>
                </m:mr>
              </m:m>
            </m:e>
          </m:d>
        </m:oMath>
      </m:oMathPara>
    </w:p>
    <w:p w14:paraId="0BC36EF3" w14:textId="77777777" w:rsidR="002B073E" w:rsidRDefault="00000000">
      <w:pPr>
        <w:pStyle w:val="FirstParagraph"/>
      </w:pPr>
      <w:r>
        <w:t>Το συγκεκριμένο κριτήριο δεν αποδεικνύει ότι μία κίνηση είναι συνολικά βέλτιστη μέχρι το τέλος του παιχνιδιού. Εξετάζει μόνο αν η επιλογή αποφεύγει μία άμεση τακτική ήττα στην επόμενη κίνηση.</w:t>
      </w:r>
    </w:p>
    <w:p w14:paraId="638412DA" w14:textId="77777777" w:rsidR="002B073E" w:rsidRDefault="00000000">
      <w:pPr>
        <w:pStyle w:val="2"/>
      </w:pPr>
      <w:bookmarkStart w:id="20" w:name="αποτελέσματα-του-stress-test"/>
      <w:bookmarkEnd w:id="19"/>
      <w:r>
        <w:t>2.4.7 Αποτελέσματα του stress test</w:t>
      </w:r>
    </w:p>
    <w:p w14:paraId="5CD42656" w14:textId="77777777" w:rsidR="002B073E" w:rsidRDefault="00000000">
      <w:pPr>
        <w:pStyle w:val="FirstParagraph"/>
      </w:pPr>
      <w:r>
        <w:t>Από τις 27 unseen καταστάσεις, μόνο 6 διέθεταν τουλάχιστον μία νόμιμη ενέργεια και μπορούσαν να χρησιμοποιηθούν στην τελική σύγκριση. Οι υπόλοιπες αντιστοιχούσαν σε πλήρη ταμπλό χωρίς διαθέσιμη συνέχεια.</w:t>
      </w:r>
    </w:p>
    <w:tbl>
      <w:tblPr>
        <w:tblStyle w:val="Table"/>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020" w:firstRow="1" w:lastRow="0" w:firstColumn="0" w:lastColumn="0" w:noHBand="0" w:noVBand="0"/>
      </w:tblPr>
      <w:tblGrid>
        <w:gridCol w:w="2416"/>
        <w:gridCol w:w="1805"/>
        <w:gridCol w:w="1566"/>
      </w:tblGrid>
      <w:tr w:rsidR="002B073E" w14:paraId="0686D7CF" w14:textId="77777777" w:rsidTr="002B073E">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D9EAF7"/>
            <w:vAlign w:val="center"/>
          </w:tcPr>
          <w:p w14:paraId="51CF95B8" w14:textId="77777777" w:rsidR="002B073E" w:rsidRDefault="00000000">
            <w:pPr>
              <w:pStyle w:val="Compact"/>
              <w:jc w:val="center"/>
            </w:pPr>
            <w:r>
              <w:rPr>
                <w:b/>
                <w:sz w:val="20"/>
              </w:rPr>
              <w:t>Μέθοδος</w:t>
            </w:r>
          </w:p>
        </w:tc>
        <w:tc>
          <w:tcPr>
            <w:tcW w:w="0" w:type="auto"/>
            <w:shd w:val="clear" w:color="auto" w:fill="D9EAF7"/>
            <w:vAlign w:val="center"/>
          </w:tcPr>
          <w:p w14:paraId="23AFA3F0" w14:textId="77777777" w:rsidR="002B073E" w:rsidRDefault="00000000">
            <w:pPr>
              <w:pStyle w:val="Compact"/>
              <w:jc w:val="center"/>
            </w:pPr>
            <w:r>
              <w:rPr>
                <w:b/>
                <w:sz w:val="20"/>
              </w:rPr>
              <w:t>Ασφαλείς επιλογές</w:t>
            </w:r>
          </w:p>
        </w:tc>
        <w:tc>
          <w:tcPr>
            <w:tcW w:w="0" w:type="auto"/>
            <w:shd w:val="clear" w:color="auto" w:fill="D9EAF7"/>
            <w:vAlign w:val="center"/>
          </w:tcPr>
          <w:p w14:paraId="2430FDD7" w14:textId="77777777" w:rsidR="002B073E" w:rsidRDefault="00000000">
            <w:pPr>
              <w:pStyle w:val="Compact"/>
              <w:jc w:val="center"/>
            </w:pPr>
            <w:r>
              <w:rPr>
                <w:b/>
                <w:sz w:val="20"/>
              </w:rPr>
              <w:t>Safe-action rate</w:t>
            </w:r>
          </w:p>
        </w:tc>
      </w:tr>
      <w:tr w:rsidR="002B073E" w14:paraId="2613FC36" w14:textId="77777777" w:rsidTr="002B073E">
        <w:trPr>
          <w:cantSplit/>
          <w:jc w:val="center"/>
        </w:trPr>
        <w:tc>
          <w:tcPr>
            <w:tcW w:w="0" w:type="auto"/>
            <w:vAlign w:val="center"/>
          </w:tcPr>
          <w:p w14:paraId="7E11C43C" w14:textId="77777777" w:rsidR="002B073E" w:rsidRDefault="00000000">
            <w:pPr>
              <w:pStyle w:val="Compact"/>
              <w:jc w:val="left"/>
            </w:pPr>
            <w:r>
              <w:rPr>
                <w:sz w:val="20"/>
              </w:rPr>
              <w:t>Τυχαίος tabular baseline</w:t>
            </w:r>
          </w:p>
        </w:tc>
        <w:tc>
          <w:tcPr>
            <w:tcW w:w="0" w:type="auto"/>
            <w:vAlign w:val="center"/>
          </w:tcPr>
          <w:p w14:paraId="0AA2402A" w14:textId="77777777" w:rsidR="002B073E" w:rsidRDefault="00000000">
            <w:pPr>
              <w:pStyle w:val="Compact"/>
              <w:jc w:val="center"/>
            </w:pPr>
            <w:r>
              <w:rPr>
                <w:sz w:val="20"/>
              </w:rPr>
              <w:t>2/6</w:t>
            </w:r>
          </w:p>
        </w:tc>
        <w:tc>
          <w:tcPr>
            <w:tcW w:w="0" w:type="auto"/>
            <w:vAlign w:val="center"/>
          </w:tcPr>
          <w:p w14:paraId="0D84433C" w14:textId="77777777" w:rsidR="002B073E" w:rsidRDefault="00000000">
            <w:pPr>
              <w:pStyle w:val="Compact"/>
              <w:jc w:val="center"/>
            </w:pPr>
            <w:r>
              <w:rPr>
                <w:sz w:val="20"/>
              </w:rPr>
              <w:t>33,33%</w:t>
            </w:r>
          </w:p>
        </w:tc>
      </w:tr>
      <w:tr w:rsidR="002B073E" w14:paraId="569BC770" w14:textId="77777777" w:rsidTr="002B073E">
        <w:trPr>
          <w:cantSplit/>
          <w:jc w:val="center"/>
        </w:trPr>
        <w:tc>
          <w:tcPr>
            <w:tcW w:w="0" w:type="auto"/>
            <w:shd w:val="clear" w:color="auto" w:fill="F5F8FA"/>
            <w:vAlign w:val="center"/>
          </w:tcPr>
          <w:p w14:paraId="67BF6BEC" w14:textId="77777777" w:rsidR="002B073E" w:rsidRDefault="00000000">
            <w:pPr>
              <w:pStyle w:val="Compact"/>
              <w:jc w:val="left"/>
            </w:pPr>
            <w:r>
              <w:rPr>
                <w:sz w:val="20"/>
              </w:rPr>
              <w:t>VAE-based weighted KNN</w:t>
            </w:r>
          </w:p>
        </w:tc>
        <w:tc>
          <w:tcPr>
            <w:tcW w:w="0" w:type="auto"/>
            <w:shd w:val="clear" w:color="auto" w:fill="F5F8FA"/>
            <w:vAlign w:val="center"/>
          </w:tcPr>
          <w:p w14:paraId="359C2170" w14:textId="77777777" w:rsidR="002B073E" w:rsidRDefault="00000000">
            <w:pPr>
              <w:pStyle w:val="Compact"/>
              <w:jc w:val="center"/>
            </w:pPr>
            <w:r>
              <w:rPr>
                <w:sz w:val="20"/>
              </w:rPr>
              <w:t>4/6</w:t>
            </w:r>
          </w:p>
        </w:tc>
        <w:tc>
          <w:tcPr>
            <w:tcW w:w="0" w:type="auto"/>
            <w:shd w:val="clear" w:color="auto" w:fill="F5F8FA"/>
            <w:vAlign w:val="center"/>
          </w:tcPr>
          <w:p w14:paraId="41BBA452" w14:textId="77777777" w:rsidR="002B073E" w:rsidRDefault="00000000">
            <w:pPr>
              <w:pStyle w:val="Compact"/>
              <w:jc w:val="center"/>
            </w:pPr>
            <w:r>
              <w:rPr>
                <w:sz w:val="20"/>
              </w:rPr>
              <w:t>66,67%</w:t>
            </w:r>
          </w:p>
        </w:tc>
      </w:tr>
    </w:tbl>
    <w:p w14:paraId="313EF1E0" w14:textId="77777777" w:rsidR="002B073E" w:rsidRPr="008D45D6" w:rsidRDefault="00000000">
      <w:pPr>
        <w:pStyle w:val="a0"/>
        <w:rPr>
          <w:lang w:val="en-US"/>
        </w:rPr>
      </w:pPr>
      <w:r>
        <w:t>Το</w:t>
      </w:r>
      <w:r w:rsidRPr="008D45D6">
        <w:rPr>
          <w:lang w:val="en-US"/>
        </w:rPr>
        <w:t xml:space="preserve"> safe-action rate </w:t>
      </w:r>
      <w:r>
        <w:t>του</w:t>
      </w:r>
      <w:r w:rsidRPr="008D45D6">
        <w:rPr>
          <w:lang w:val="en-US"/>
        </w:rPr>
        <w:t xml:space="preserve"> baseline </w:t>
      </w:r>
      <w:r>
        <w:t>ήταν</w:t>
      </w:r>
      <w:r w:rsidRPr="008D45D6">
        <w:rPr>
          <w:lang w:val="en-US"/>
        </w:rPr>
        <w:t>:</w:t>
      </w:r>
    </w:p>
    <w:p w14:paraId="56D1DE36" w14:textId="77777777" w:rsidR="002B073E" w:rsidRDefault="00000000">
      <w:pPr>
        <w:pStyle w:val="a0"/>
        <w:spacing w:before="100" w:after="100"/>
        <w:jc w:val="center"/>
      </w:pPr>
      <m:oMathPara>
        <m:oMathParaPr>
          <m:jc m:val="center"/>
        </m:oMathParaPr>
        <m:oMath>
          <m:sSub>
            <m:sSubPr>
              <m:ctrlPr>
                <w:rPr>
                  <w:rFonts w:ascii="Cambria Math" w:hAnsi="Cambria Math"/>
                </w:rPr>
              </m:ctrlPr>
            </m:sSubPr>
            <m:e>
              <m:r>
                <m:rPr>
                  <m:sty m:val="p"/>
                </m:rPr>
                <w:rPr>
                  <w:rFonts w:ascii="Cambria Math" w:hAnsi="Cambria Math"/>
                </w:rPr>
                <m:t>Safe rate</m:t>
              </m:r>
            </m:e>
            <m:sub>
              <m:r>
                <m:rPr>
                  <m:sty m:val="p"/>
                </m:rPr>
                <w:rPr>
                  <w:rFonts w:ascii="Cambria Math" w:hAnsi="Cambria Math"/>
                </w:rPr>
                <m:t>baseline</m:t>
              </m:r>
            </m:sub>
          </m:sSub>
          <m:r>
            <m:rPr>
              <m:sty m:val="p"/>
            </m:rP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6</m:t>
              </m:r>
            </m:den>
          </m:f>
          <m:r>
            <m:rPr>
              <m:sty m:val="p"/>
            </m:rPr>
            <w:rPr>
              <w:rFonts w:ascii="Cambria Math" w:hAnsi="Cambria Math"/>
            </w:rPr>
            <m:t>=</m:t>
          </m:r>
          <m:r>
            <w:rPr>
              <w:rFonts w:ascii="Cambria Math" w:hAnsi="Cambria Math"/>
            </w:rPr>
            <m:t>33.33</m:t>
          </m:r>
          <m:r>
            <m:rPr>
              <m:sty m:val="p"/>
            </m:rPr>
            <w:rPr>
              <w:rFonts w:ascii="Cambria Math" w:hAnsi="Cambria Math"/>
            </w:rPr>
            <m:t>%.</m:t>
          </m:r>
        </m:oMath>
      </m:oMathPara>
    </w:p>
    <w:p w14:paraId="4C46B487" w14:textId="77777777" w:rsidR="002B073E" w:rsidRPr="008D45D6" w:rsidRDefault="00000000">
      <w:pPr>
        <w:pStyle w:val="FirstParagraph"/>
        <w:rPr>
          <w:lang w:val="en-US"/>
        </w:rPr>
      </w:pPr>
      <w:r>
        <w:t>Το</w:t>
      </w:r>
      <w:r w:rsidRPr="008D45D6">
        <w:rPr>
          <w:lang w:val="en-US"/>
        </w:rPr>
        <w:t xml:space="preserve"> safe-action rate </w:t>
      </w:r>
      <w:r>
        <w:t>του</w:t>
      </w:r>
      <w:r w:rsidRPr="008D45D6">
        <w:rPr>
          <w:lang w:val="en-US"/>
        </w:rPr>
        <w:t xml:space="preserve"> VAE-based agent </w:t>
      </w:r>
      <w:r>
        <w:t>ήταν</w:t>
      </w:r>
      <w:r w:rsidRPr="008D45D6">
        <w:rPr>
          <w:lang w:val="en-US"/>
        </w:rPr>
        <w:t>:</w:t>
      </w:r>
    </w:p>
    <w:p w14:paraId="4F8882FF" w14:textId="77777777" w:rsidR="002B073E" w:rsidRDefault="00000000">
      <w:pPr>
        <w:pStyle w:val="a0"/>
        <w:spacing w:before="100" w:after="100"/>
        <w:jc w:val="center"/>
      </w:pPr>
      <m:oMathPara>
        <m:oMathParaPr>
          <m:jc m:val="center"/>
        </m:oMathParaPr>
        <m:oMath>
          <m:sSub>
            <m:sSubPr>
              <m:ctrlPr>
                <w:rPr>
                  <w:rFonts w:ascii="Cambria Math" w:hAnsi="Cambria Math"/>
                </w:rPr>
              </m:ctrlPr>
            </m:sSubPr>
            <m:e>
              <m:r>
                <m:rPr>
                  <m:sty m:val="p"/>
                </m:rPr>
                <w:rPr>
                  <w:rFonts w:ascii="Cambria Math" w:hAnsi="Cambria Math"/>
                </w:rPr>
                <m:t>Safe rate</m:t>
              </m:r>
            </m:e>
            <m:sub>
              <m:r>
                <m:rPr>
                  <m:sty m:val="p"/>
                </m:rPr>
                <w:rPr>
                  <w:rFonts w:ascii="Cambria Math" w:hAnsi="Cambria Math"/>
                </w:rPr>
                <m:t>VAE</m:t>
              </m:r>
            </m:sub>
          </m:sSub>
          <m:r>
            <m:rPr>
              <m:sty m:val="p"/>
            </m:rP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6</m:t>
              </m:r>
            </m:den>
          </m:f>
          <m:r>
            <m:rPr>
              <m:sty m:val="p"/>
            </m:rPr>
            <w:rPr>
              <w:rFonts w:ascii="Cambria Math" w:hAnsi="Cambria Math"/>
            </w:rPr>
            <m:t>=</m:t>
          </m:r>
          <m:r>
            <w:rPr>
              <w:rFonts w:ascii="Cambria Math" w:hAnsi="Cambria Math"/>
            </w:rPr>
            <m:t>66.67</m:t>
          </m:r>
          <m:r>
            <m:rPr>
              <m:sty m:val="p"/>
            </m:rPr>
            <w:rPr>
              <w:rFonts w:ascii="Cambria Math" w:hAnsi="Cambria Math"/>
            </w:rPr>
            <m:t>%.</m:t>
          </m:r>
        </m:oMath>
      </m:oMathPara>
    </w:p>
    <w:p w14:paraId="43165651" w14:textId="77777777" w:rsidR="002B073E" w:rsidRDefault="00000000">
      <w:pPr>
        <w:pStyle w:val="FirstParagraph"/>
      </w:pPr>
      <w:r>
        <w:t>Η απόλυτη διαφορά μεταξύ των δύο μεθόδων ήταν:</w:t>
      </w:r>
    </w:p>
    <w:p w14:paraId="4AFA278F" w14:textId="77777777" w:rsidR="002B073E" w:rsidRDefault="00000000">
      <w:pPr>
        <w:pStyle w:val="a0"/>
        <w:spacing w:before="100" w:after="100"/>
        <w:jc w:val="center"/>
      </w:pPr>
      <m:oMathPara>
        <m:oMathParaPr>
          <m:jc m:val="center"/>
        </m:oMathParaPr>
        <m:oMath>
          <m:r>
            <w:rPr>
              <w:rFonts w:ascii="Cambria Math" w:hAnsi="Cambria Math"/>
            </w:rPr>
            <m:t>66.67</m:t>
          </m:r>
          <m:r>
            <m:rPr>
              <m:sty m:val="p"/>
            </m:rPr>
            <w:rPr>
              <w:rFonts w:ascii="Cambria Math" w:hAnsi="Cambria Math"/>
            </w:rPr>
            <m:t>%-</m:t>
          </m:r>
          <m:r>
            <w:rPr>
              <w:rFonts w:ascii="Cambria Math" w:hAnsi="Cambria Math"/>
            </w:rPr>
            <m:t>33.33</m:t>
          </m:r>
          <m:r>
            <m:rPr>
              <m:sty m:val="p"/>
            </m:rPr>
            <w:rPr>
              <w:rFonts w:ascii="Cambria Math" w:hAnsi="Cambria Math"/>
            </w:rPr>
            <m:t>%=</m:t>
          </m:r>
          <m:r>
            <w:rPr>
              <w:rFonts w:ascii="Cambria Math" w:hAnsi="Cambria Math"/>
            </w:rPr>
            <m:t>33.34</m:t>
          </m:r>
        </m:oMath>
      </m:oMathPara>
    </w:p>
    <w:p w14:paraId="79CC7362" w14:textId="77777777" w:rsidR="002B073E" w:rsidRDefault="00000000">
      <w:pPr>
        <w:pStyle w:val="FirstParagraph"/>
      </w:pPr>
      <w:r>
        <w:t>ποσοστιαίες μονάδες.</w:t>
      </w:r>
    </w:p>
    <w:p w14:paraId="33738005" w14:textId="77777777" w:rsidR="002B073E" w:rsidRDefault="00000000">
      <w:pPr>
        <w:pStyle w:val="a0"/>
      </w:pPr>
      <w:r>
        <w:t>Ο VAE-based agent πραγματοποίησε δύο επιπλέον ασφαλείς επιλογές σε σχέση με τον τυχαίο baseline. Αριθμητικά, το αποτέλεσμα δείχνει ότι η μεταφορά γνώσης μέσω του latent χώρου βελτίωσε την επιλογή ασφαλών ενεργειών στις συγκεκριμένες unseen καταστάσεις.</w:t>
      </w:r>
    </w:p>
    <w:p w14:paraId="71031EBF" w14:textId="77777777" w:rsidR="002B073E" w:rsidRDefault="00000000">
      <w:pPr>
        <w:pStyle w:val="a0"/>
      </w:pPr>
      <w:r>
        <w:t xml:space="preserve">Το αποτέλεσμα υποστηρίζει την υπόθεση ότι ο VAE τοποθετεί ορισμένες στρατηγικά παρόμοιες καταστάσεις σε κοντινές περιοχές του latent χώρου. Με αυτόν τον τρόπο, οι Q-τιμές των γνωστών </w:t>
      </w:r>
      <w:r>
        <w:lastRenderedPageBreak/>
        <w:t>γειτονικών καταστάσεων μπορούν να παρέχουν χρήσιμη πληροφορία για μία κατάσταση χωρίς διαθέσιμη Q-row.</w:t>
      </w:r>
    </w:p>
    <w:p w14:paraId="1FBF8AE9" w14:textId="77777777" w:rsidR="002B073E" w:rsidRDefault="00000000">
      <w:pPr>
        <w:pStyle w:val="2"/>
      </w:pPr>
      <w:bookmarkStart w:id="21" w:name="περιορισμοί-και-ερμηνεία"/>
      <w:bookmarkEnd w:id="20"/>
      <w:r>
        <w:t>2.4.8 Περιορισμοί και ερμηνεία</w:t>
      </w:r>
    </w:p>
    <w:p w14:paraId="1240DA80" w14:textId="77777777" w:rsidR="002B073E" w:rsidRDefault="00000000">
      <w:pPr>
        <w:pStyle w:val="FirstParagraph"/>
      </w:pPr>
      <w:r>
        <w:t>Παρά τη σημαντική ποσοστιαία διαφορά μεταξύ των δύο μεθόδων, το τελικό δείγμα αποτελείται από μόλις έξι αξιολογήσιμες unseen καταστάσεις. Η διαφορά μεταξύ 33,33% και 66,67% αντιστοιχεί πρακτικά σε δύο επιπλέον ασφαλείς επιλογές. Επομένως, το αποτέλεσμα δεν επαρκεί για την εξαγωγή ισχυρού στατιστικού συμπεράσματος.</w:t>
      </w:r>
    </w:p>
    <w:p w14:paraId="5D0B0969" w14:textId="77777777" w:rsidR="002B073E" w:rsidRDefault="00000000">
      <w:pPr>
        <w:pStyle w:val="a0"/>
      </w:pPr>
      <w:r>
        <w:t>Η υπεροχή του VAE-based agent πρέπει να χαρακτηριστεί ως θετική ένδειξη και όχι ως οριστική απόδειξη γενίκευσης. Το μικρό πλήθος των αξιολογήσιμων unseen καταστάσεων οφείλεται κυρίως στην πολύ υψηλή κάλυψη του Q-πίνακα. Παρότι παρήχθησαν 50.000 samples, μόνο 27 μοναδικές έγκυρες καταστάσεις βρίσκονταν εκτός του πίνακα και μόνο 6 είχαν νόμιμες διαθέσιμες κινήσεις.</w:t>
      </w:r>
    </w:p>
    <w:p w14:paraId="0B74E1BB" w14:textId="77777777" w:rsidR="002B073E" w:rsidRDefault="00000000">
      <w:pPr>
        <w:pStyle w:val="a0"/>
      </w:pPr>
      <w:r>
        <w:t>Για πιο αξιόπιστη αξιολόγηση θα μπορούσαν να πραγματοποιηθούν:</w:t>
      </w:r>
    </w:p>
    <w:p w14:paraId="1E047B95" w14:textId="77777777" w:rsidR="002B073E" w:rsidRDefault="00000000">
      <w:pPr>
        <w:pStyle w:val="Compact"/>
        <w:numPr>
          <w:ilvl w:val="0"/>
          <w:numId w:val="7"/>
        </w:numPr>
      </w:pPr>
      <w:r>
        <w:t>πολλαπλές ανεξάρτητες εκτελέσεις με διαφορετικά random seeds,</w:t>
      </w:r>
    </w:p>
    <w:p w14:paraId="2D05C2E5" w14:textId="77777777" w:rsidR="002B073E" w:rsidRDefault="00000000">
      <w:pPr>
        <w:pStyle w:val="Compact"/>
        <w:numPr>
          <w:ilvl w:val="0"/>
          <w:numId w:val="7"/>
        </w:numPr>
      </w:pPr>
      <w:r>
        <w:t>περαιτέρω αύξηση του αριθμού των παραγόμενων samples,</w:t>
      </w:r>
    </w:p>
    <w:p w14:paraId="511294C5" w14:textId="77777777" w:rsidR="002B073E" w:rsidRDefault="00000000">
      <w:pPr>
        <w:pStyle w:val="Compact"/>
        <w:numPr>
          <w:ilvl w:val="0"/>
          <w:numId w:val="7"/>
        </w:numPr>
      </w:pPr>
      <w:r>
        <w:t>δοκιμή διαφορετικών τιμών temperature,</w:t>
      </w:r>
    </w:p>
    <w:p w14:paraId="50E231A4" w14:textId="77777777" w:rsidR="002B073E" w:rsidRDefault="00000000">
      <w:pPr>
        <w:pStyle w:val="Compact"/>
        <w:numPr>
          <w:ilvl w:val="0"/>
          <w:numId w:val="7"/>
        </w:numPr>
      </w:pPr>
      <w:r>
        <w:t xml:space="preserve">αξιολόγηση διαφορετικών τιμών του </w:t>
      </w:r>
      <m:oMath>
        <m:r>
          <w:rPr>
            <w:rFonts w:ascii="Cambria Math" w:hAnsi="Cambria Math"/>
          </w:rPr>
          <m:t>K</m:t>
        </m:r>
      </m:oMath>
      <w:r>
        <w:t>,</w:t>
      </w:r>
    </w:p>
    <w:p w14:paraId="109745E2" w14:textId="77777777" w:rsidR="002B073E" w:rsidRDefault="00000000">
      <w:pPr>
        <w:pStyle w:val="Compact"/>
        <w:numPr>
          <w:ilvl w:val="0"/>
          <w:numId w:val="7"/>
        </w:numPr>
      </w:pPr>
      <w:r>
        <w:t>δημιουργία ελεγχόμενου hold-out συνόλου καταστάσεων,</w:t>
      </w:r>
    </w:p>
    <w:p w14:paraId="1660B8C2" w14:textId="77777777" w:rsidR="002B073E" w:rsidRPr="008D45D6" w:rsidRDefault="00000000">
      <w:pPr>
        <w:pStyle w:val="Compact"/>
        <w:numPr>
          <w:ilvl w:val="0"/>
          <w:numId w:val="7"/>
        </w:numPr>
        <w:rPr>
          <w:lang w:val="en-US"/>
        </w:rPr>
      </w:pPr>
      <w:r>
        <w:t>σύγκριση</w:t>
      </w:r>
      <w:r w:rsidRPr="008D45D6">
        <w:rPr>
          <w:lang w:val="en-US"/>
        </w:rPr>
        <w:t xml:space="preserve"> weighted </w:t>
      </w:r>
      <w:r>
        <w:t>και</w:t>
      </w:r>
      <w:r w:rsidRPr="008D45D6">
        <w:rPr>
          <w:lang w:val="en-US"/>
        </w:rPr>
        <w:t xml:space="preserve"> unweighted KNN,</w:t>
      </w:r>
    </w:p>
    <w:p w14:paraId="179CB329" w14:textId="77777777" w:rsidR="002B073E" w:rsidRDefault="00000000">
      <w:pPr>
        <w:pStyle w:val="Compact"/>
        <w:numPr>
          <w:ilvl w:val="0"/>
          <w:numId w:val="7"/>
        </w:numPr>
      </w:pPr>
      <w:r>
        <w:t>αξιολόγηση σε μεγαλύτερα ταμπλό, όπου ο Q-πίνακας καλύπτει μικρότερο ποσοστό του συνολικού χώρου.</w:t>
      </w:r>
    </w:p>
    <w:p w14:paraId="7191E6B6" w14:textId="77777777" w:rsidR="002B073E" w:rsidRDefault="00000000">
      <w:pPr>
        <w:pStyle w:val="FirstParagraph"/>
      </w:pPr>
      <w:r>
        <w:t>Συμπερασματικά, ο VAE-based weighted KNN agent παρουσίασε καλύτερο safe-action rate από τον τυχαίο tabular baseline. Το αποτέλεσμα υποστηρίζει την υπόθεση ότι ο λανθάνων χώρος μπορεί να χρησιμοποιηθεί για τη μεταφορά Q-learning γνώσης σε καταστάσεις χωρίς διαθέσιμη Q-row. Ωστόσο, λόγω του περιορισμένου τελικού δείγματος, η παρατηρούμενη βελτίωση πρέπει να θεωρηθεί ενδεικτική και όχι οριστική.</w:t>
      </w:r>
      <w:bookmarkEnd w:id="13"/>
      <w:bookmarkEnd w:id="21"/>
    </w:p>
    <w:sectPr w:rsidR="002B073E">
      <w:footerReference w:type="default" r:id="rId7"/>
      <w:pgSz w:w="12240" w:h="15840"/>
      <w:pgMar w:top="1247" w:right="1361" w:bottom="1134" w:left="136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58C3E" w14:textId="77777777" w:rsidR="00F6686D" w:rsidRDefault="00F6686D">
      <w:pPr>
        <w:spacing w:after="0" w:line="240" w:lineRule="auto"/>
      </w:pPr>
      <w:r>
        <w:separator/>
      </w:r>
    </w:p>
  </w:endnote>
  <w:endnote w:type="continuationSeparator" w:id="0">
    <w:p w14:paraId="748C4120" w14:textId="77777777" w:rsidR="00F6686D" w:rsidRDefault="00F668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8A8DC" w14:textId="77777777" w:rsidR="002B073E" w:rsidRDefault="00000000">
    <w:pPr>
      <w:jc w:val="center"/>
    </w:pPr>
    <w:r>
      <w:rPr>
        <w:sz w:val="18"/>
      </w:rPr>
      <w:t xml:space="preserve">Σελίδα </w:t>
    </w:r>
    <w:r>
      <w:rPr>
        <w:sz w:val="18"/>
      </w:rPr>
      <w:fldChar w:fldCharType="begin"/>
    </w:r>
    <w:r>
      <w:rPr>
        <w:sz w:val="18"/>
      </w:rPr>
      <w:instrText xml:space="preserve"> PAGE </w:instrText>
    </w:r>
    <w:r w:rsidR="008D45D6">
      <w:rPr>
        <w:sz w:val="18"/>
      </w:rPr>
      <w:fldChar w:fldCharType="separate"/>
    </w:r>
    <w:r w:rsidR="008D45D6">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33104" w14:textId="77777777" w:rsidR="00F6686D" w:rsidRDefault="00F6686D">
      <w:r>
        <w:separator/>
      </w:r>
    </w:p>
  </w:footnote>
  <w:footnote w:type="continuationSeparator" w:id="0">
    <w:p w14:paraId="3ACF3206" w14:textId="77777777" w:rsidR="00F6686D" w:rsidRDefault="00F668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4DC5F5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96F4B12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01D246E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919168087">
    <w:abstractNumId w:val="0"/>
  </w:num>
  <w:num w:numId="2" w16cid:durableId="1176115582">
    <w:abstractNumId w:val="1"/>
  </w:num>
  <w:num w:numId="3" w16cid:durableId="20086030">
    <w:abstractNumId w:val="1"/>
  </w:num>
  <w:num w:numId="4" w16cid:durableId="6315977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479913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08360084">
    <w:abstractNumId w:val="1"/>
  </w:num>
  <w:num w:numId="7" w16cid:durableId="4980382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B073E"/>
    <w:rsid w:val="000438BE"/>
    <w:rsid w:val="002B073E"/>
    <w:rsid w:val="008D45D6"/>
    <w:rsid w:val="00F668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86AB7"/>
  <w15:docId w15:val="{0F360C30-6141-41AF-8945-9B3DCCDB6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l-GR"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20" w:line="276" w:lineRule="auto"/>
      <w:jc w:val="both"/>
    </w:pPr>
    <w:rPr>
      <w:rFonts w:ascii="Times New Roman" w:eastAsia="Times New Roman" w:hAnsi="Times New Roman" w:cs="Times New Roman"/>
      <w:sz w:val="23"/>
    </w:rPr>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pPr>
  </w:style>
  <w:style w:type="paragraph" w:customStyle="1" w:styleId="FirstParagraph">
    <w:name w:val="First Paragraph"/>
    <w:basedOn w:val="a0"/>
    <w:next w:val="a0"/>
    <w:qFormat/>
  </w:style>
  <w:style w:type="paragraph" w:customStyle="1" w:styleId="Compact">
    <w:name w:val="Compact"/>
    <w:basedOn w:val="a0"/>
    <w:qFormat/>
    <w:pPr>
      <w:spacing w:before="36"/>
    </w:pPr>
  </w:style>
  <w:style w:type="paragraph" w:styleId="a4">
    <w:name w:val="Title"/>
    <w:basedOn w:val="a"/>
    <w:next w:val="a0"/>
    <w:qFormat/>
    <w:pPr>
      <w:keepNext/>
      <w:keepLines/>
      <w:spacing w:before="480" w:after="200"/>
      <w:jc w:val="center"/>
    </w:pPr>
    <w:rPr>
      <w:rFonts w:asciiTheme="majorHAnsi" w:eastAsiaTheme="majorEastAsia" w:hAnsiTheme="majorHAnsi" w:cstheme="majorBidi"/>
      <w:b/>
      <w:bCs/>
      <w:color w:val="1F4E79"/>
      <w:sz w:val="40"/>
      <w:szCs w:val="36"/>
    </w:rPr>
  </w:style>
  <w:style w:type="paragraph" w:styleId="a5">
    <w:name w:val="Subtitle"/>
    <w:basedOn w:val="a4"/>
    <w:next w:val="a0"/>
    <w:qFormat/>
    <w:pPr>
      <w:spacing w:before="240" w:after="240"/>
    </w:pPr>
    <w:rPr>
      <w:rFonts w:ascii="Times New Roman" w:eastAsia="Times New Roman" w:hAnsi="Times New Roman" w:cs="Times New Roman"/>
      <w:b w:val="0"/>
      <w:color w:val="444444"/>
      <w:sz w:val="28"/>
      <w:szCs w:val="30"/>
    </w:rPr>
  </w:style>
  <w:style w:type="paragraph" w:customStyle="1" w:styleId="Author">
    <w:name w:val="Author"/>
    <w:next w:val="a0"/>
    <w:qFormat/>
    <w:pPr>
      <w:keepNext/>
      <w:keepLines/>
      <w:jc w:val="center"/>
    </w:pPr>
    <w:rPr>
      <w:rFonts w:ascii="Times New Roman" w:eastAsia="Times New Roman" w:hAnsi="Times New Roman" w:cs="Times New Roman"/>
    </w:rPr>
  </w:style>
  <w:style w:type="paragraph" w:styleId="a6">
    <w:name w:val="Date"/>
    <w:next w:val="a0"/>
    <w:qFormat/>
    <w:pPr>
      <w:keepNext/>
      <w:keepLines/>
      <w:jc w:val="center"/>
    </w:pPr>
    <w:rPr>
      <w:rFonts w:ascii="Times New Roman" w:eastAsia="Times New Roman" w:hAnsi="Times New Roman" w:cs="Times New Roman"/>
      <w:sz w:val="22"/>
    </w:r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
    <w:rPr>
      <w:i/>
    </w:rPr>
  </w:style>
  <w:style w:type="paragraph" w:customStyle="1" w:styleId="TableCaption">
    <w:name w:val="Table Caption"/>
    <w:basedOn w:val="aa"/>
    <w:pPr>
      <w:keepNext/>
      <w:jc w:val="center"/>
    </w:pPr>
    <w:rPr>
      <w:sz w:val="20"/>
    </w:r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
    <w:name w:val="Λεζάντα Char"/>
    <w:basedOn w:val="a1"/>
    <w:link w:val="aa"/>
  </w:style>
  <w:style w:type="character" w:customStyle="1" w:styleId="VerbatimChar">
    <w:name w:val="Verbatim Char"/>
    <w:basedOn w:val="Char"/>
    <w:link w:val="SourceCode"/>
    <w:rPr>
      <w:rFonts w:ascii="Consolas" w:hAnsi="Consolas"/>
      <w:sz w:val="22"/>
    </w:rPr>
  </w:style>
  <w:style w:type="character" w:customStyle="1" w:styleId="SectionNumber">
    <w:name w:val="Section Number"/>
    <w:basedOn w:val="Char"/>
  </w:style>
  <w:style w:type="character" w:styleId="ab">
    <w:name w:val="footnote reference"/>
    <w:basedOn w:val="Char"/>
    <w:rPr>
      <w:vertAlign w:val="superscript"/>
    </w:rPr>
  </w:style>
  <w:style w:type="character" w:styleId="-">
    <w:name w:val="Hyperlink"/>
    <w:basedOn w:val="Char"/>
    <w:rPr>
      <w:color w:val="4F81BD" w:themeColor="accent1"/>
    </w:rPr>
  </w:style>
  <w:style w:type="paragraph" w:styleId="a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12</Pages>
  <Words>2920</Words>
  <Characters>16647</Characters>
  <Application>Microsoft Office Word</Application>
  <DocSecurity>0</DocSecurity>
  <Lines>138</Lines>
  <Paragraphs>39</Paragraphs>
  <ScaleCrop>false</ScaleCrop>
  <Company/>
  <LinksUpToDate>false</LinksUpToDate>
  <CharactersWithSpaces>19528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Αναφορά Ερωτημάτων 1.6, 1.7 και 2.4</dc:title>
  <dc:subject>Q-Learning και Variational Auto-Encoders για Tic-Tac-Toe</dc:subject>
  <dc:creator>Αναστασία Καπελλάκη</dc:creator>
  <cp:keywords/>
  <cp:lastModifiedBy>ANASTASIA KAPELLAKI</cp:lastModifiedBy>
  <cp:revision>2</cp:revision>
  <dcterms:created xsi:type="dcterms:W3CDTF">2026-08-02T16:36:00Z</dcterms:created>
  <dcterms:modified xsi:type="dcterms:W3CDTF">2026-08-02T17:48:00Z</dcterms:modified>
  <dc:language>el-GR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subtitle">
    <vt:lpwstr>Αναφορά Ερωτημάτων 1.6, 1.7 και 2.4</vt:lpwstr>
  </property>
</Properties>
</file>