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df" ContentType="application/pdf"/>
  <Override PartName="/word/media/rId23.pdf" ContentType="application/pdf"/>
  <Override PartName="/word/media/rId26.pdf" ContentType="application/pdf"/>
  <Override PartName="/word/media/rId54.pdf" ContentType="application/pdf"/>
  <Override PartName="/word/media/rId46.pdf" ContentType="application/pdf"/>
  <Override PartName="/word/media/rId20.pdf" ContentType="application/pdf"/>
  <Override PartName="/word/media/rId29.pdf" ContentType="application/pdf"/>
  <Override PartName="/word/media/rId50.pdf" ContentType="application/pdf"/>
  <Override PartName="/word/media/rId59.pdf" ContentType="application/pdf"/>
  <Override PartName="/word/media/rId42.pdf" ContentType="application/pdf"/>
  <Override PartName="/word/media/rId3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OMICRON</w:t>
      </w:r>
      <w:r>
        <w:t xml:space="preserve"> </w:t>
      </w:r>
      <w:r>
        <w:t xml:space="preserve">–</w:t>
      </w:r>
      <w:r>
        <w:t xml:space="preserve"> </w:t>
      </w:r>
      <w:r>
        <w:t xml:space="preserve">УСПОКОЕНИЕ</w:t>
      </w:r>
      <w:r>
        <w:t xml:space="preserve"> </w:t>
      </w:r>
      <w:r>
        <w:t xml:space="preserve">ИЛИ</w:t>
      </w:r>
      <w:r>
        <w:t xml:space="preserve"> </w:t>
      </w:r>
      <w:r>
        <w:t xml:space="preserve">ПРЕДИЗВИКАТЕЛСТВО?</w:t>
      </w:r>
    </w:p>
    <w:p>
      <w:pPr>
        <w:pStyle w:val="Author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данни</w:t>
      </w:r>
    </w:p>
    <w:p>
      <w:pPr>
        <w:pStyle w:val="Date"/>
      </w:pPr>
      <w:r>
        <w:t xml:space="preserve">2022-08-16</w:t>
      </w:r>
    </w:p>
    <w:p>
      <w:pPr>
        <w:pStyle w:val="FirstParagraph"/>
      </w:pPr>
      <w:r>
        <w:t xml:space="preserve">За периода 1.7.2021-9.5.2022г. в Лабораторията по Вирусология при УМБАЛ „Св. Георги“-Пловдив чрез RT-PCR (Bioneer) е установен SARS-CoV-2 при 3868 пациенти. На 5% от тях са изпратени проби в НЦЗПБ-София за определяне вирусния вариант</w:t>
      </w:r>
      <w:r>
        <w:t xml:space="preserve"> </w:t>
      </w:r>
      <w:r>
        <w:t xml:space="preserve">чрез секвениране (Pangolin COVID-19 Lineage Assigner v4.0.6), който е уточнен при 190 проби.</w:t>
      </w:r>
    </w:p>
    <w:bookmarkStart w:id="37" w:name="динамика-в-периода-на-изследване"/>
    <w:p>
      <w:pPr>
        <w:pStyle w:val="Heading1"/>
      </w:pPr>
      <w:r>
        <w:t xml:space="preserve">Динамика в периода на изследване</w:t>
      </w:r>
    </w:p>
    <w:bookmarkStart w:id="32" w:name="X59b29ae5b0e55848dcfd0d2251642a348d868d8"/>
    <w:p>
      <w:pPr>
        <w:pStyle w:val="Heading2"/>
      </w:pPr>
      <w:r>
        <w:t xml:space="preserve">Динамика в хоспитализацията и вътреболничния леталитет</w:t>
      </w:r>
    </w:p>
    <w:p>
      <w:pPr>
        <w:pStyle w:val="FirstParagraph"/>
      </w:pPr>
      <w:r>
        <w:t xml:space="preserve">С най-много починали се отличава седмица 45-та на 2021 г. (м. Ноември), в която са регистрирани 66 починали лица или средно по 9 на ден. Само в две от анализирираните седмици не са регистрирани смъртни случай - 29 седмица на 2021 г. (м. Юли) и 18 седмица на 2022 г. (м. Април)</w:t>
      </w:r>
    </w:p>
    <w:p>
      <w:pPr>
        <w:pStyle w:val="BodyText"/>
      </w:pPr>
      <w:r>
        <w:t xml:space="preserve">Най-висок брой на хоспитализирани лица се наблюдава в 43-та седмица на м. Октомври - 174 или средно по 25 хоспитализации дневно. Без хоспитализации са и посочените 45-та седмица в месец Ноември и 18-та в месец Април, където освен смъртни случай не са регистрирани и хоспитализирани пациенти.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dinamics-1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По хоризонтала - времето (седмици), с черна линия - броя на смъртните случаи, с червена линия - броя на починалите</w:t>
            </w:r>
          </w:p>
        </w:tc>
      </w:tr>
    </w:tbl>
    <w:p>
      <w:pPr>
        <w:pStyle w:val="BodyText"/>
      </w:pPr>
      <w:r>
        <w:t xml:space="preserve">По отношение на леталитета, с най-висока стойност се установява за месец ноември 2021г. (37%). Най-ниската му стойност се установява за месец април 2022 г. (14%). За месеците август-октовмри и декември 2021 г., както и за февруари 2022 г. вътреболничния леталитет превишава средните стойности за целия период.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case_fatality-1.pdf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Разпределение на леталитета по месеци. Вътреболничния леталитет е изчислен като са разделени броя на починалите към броя на хоспитализираните в съответния месец. Леталитетът е представен в проценти. В случая става върпрос за</w:t>
            </w:r>
            <w:r>
              <w:t xml:space="preserve"> </w:t>
            </w:r>
            <w:r>
              <w:rPr>
                <w:iCs/>
                <w:i/>
              </w:rPr>
              <w:t xml:space="preserve">crude</w:t>
            </w:r>
            <w:r>
              <w:t xml:space="preserve"> </w:t>
            </w:r>
            <w:r>
              <w:t xml:space="preserve">или нестандартиризиран леталитет</w:t>
            </w:r>
          </w:p>
        </w:tc>
      </w:tr>
    </w:tbl>
    <w:p>
      <w:pPr>
        <w:pStyle w:val="BodyText"/>
      </w:pPr>
      <w:r>
        <w:t xml:space="preserve">Разглеждайки промяна в индекса на леталитета с най-голяма динамика се отличава месец август 2021г. През този период в лечебното заведение са постъпили с 108 пациента повече спрямо предходния месец Юли. Подобна динамика се наблюдава и за смъртността, като през месец Август са починали с 340 повече пациенти. Позитивна динамика се установява и в месеците</w:t>
      </w:r>
      <w:r>
        <w:t xml:space="preserve"> </w:t>
      </w:r>
      <w:r>
        <w:t xml:space="preserve">септември-ноември 2021г., както и януари-февруари 2022г. Тези позитивни отклонения в индекса свидетелсват за наличието на</w:t>
      </w:r>
      <w:r>
        <w:t xml:space="preserve"> </w:t>
      </w:r>
      <w:r>
        <w:t xml:space="preserve">“</w:t>
      </w:r>
      <w:r>
        <w:t xml:space="preserve">вълна</w:t>
      </w:r>
      <w:r>
        <w:t xml:space="preserve">”</w:t>
      </w:r>
      <w:r>
        <w:t xml:space="preserve"> </w:t>
      </w:r>
      <w:r>
        <w:t xml:space="preserve">с повишена нужда от хоспитализация и повишен леталитет.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case_fatality_dynamics-1.pdf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Верижния индекс на болничния леталитет е конструиран, като за всеки месец е изчислена разликата в броя на починалите спрямо предходния, разделяна на броя на хоспитализираните в предходния месец</w:t>
            </w:r>
          </w:p>
        </w:tc>
      </w:tr>
    </w:tbl>
    <w:p>
      <w:pPr>
        <w:pStyle w:val="BodyText"/>
      </w:pPr>
      <w:r>
        <w:t xml:space="preserve">Наблюдава се позитивна, слаба, но статистически значима връзка между времето за хоспитализация (отчетена в дни) и възрастта на пациентите.</w:t>
      </w:r>
    </w:p>
    <w:p>
      <w:pPr>
        <w:pStyle w:val="BodyText"/>
      </w:pPr>
      <w:r>
        <w:t xml:space="preserve">Една година повишени във възраста се свързва с 0,52 дни увеличение в болничния престой. Следва се отбележи, че възрастта е сигнификатен, но слаб предиктор, обясняващ едва 2,8% от вариацията в продължителността на хоспитализация.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lengh_of_stay-1.pdf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Скатър плот - разпределение на пациентите по възраст и продължителност на хоспитализацията</w:t>
            </w:r>
          </w:p>
        </w:tc>
      </w:tr>
    </w:tbl>
    <w:bookmarkEnd w:id="32"/>
    <w:bookmarkStart w:id="36" w:name="динамика-във-вирусните-варианти"/>
    <w:p>
      <w:pPr>
        <w:pStyle w:val="Heading2"/>
      </w:pPr>
      <w:r>
        <w:t xml:space="preserve">Динамика във вирусните варианти</w:t>
      </w:r>
    </w:p>
    <w:p>
      <w:pPr>
        <w:pStyle w:val="FirstParagraph"/>
      </w:pPr>
      <w:r>
        <w:t xml:space="preserve">В изследвания период 112 (58.9%) от пробите са с идентифициран вариант делта. Само в групата с делта вариант, най-често предстъавен е Delta (В.1.617.2) n = 66 (58.9%). Втори по честота е Omicron с 70 позитивни проби (36.8%). В тази група най-често срещания е Omicron (BA.1/BA.1.1) n = 46 (65.7%). С най-малка честота са пробите с идентифициран Alpha вариант (n= 8; 4.2%). Следва се отбележи, че от началото на изследвания период домира делта варианта, като в 27 седмица на 2021 (м. Юли), той е преобладаващ в 66,7% от всички проби. Тази тенденция се задържа до 2 седмица на 2022г. (м. Януари), когато се наблюдава заместване с преобладаващият до края на изследването Омикрон вариант.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variant_dinamics-1.pdf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Динамика на вариантите по седмица</w:t>
            </w:r>
          </w:p>
        </w:tc>
      </w:tr>
    </w:tbl>
    <w:bookmarkEnd w:id="36"/>
    <w:bookmarkEnd w:id="37"/>
    <w:bookmarkStart w:id="58" w:name="Xccc0381db3431bcea6531c63efed2b9c0574e9a"/>
    <w:p>
      <w:pPr>
        <w:pStyle w:val="Heading1"/>
      </w:pPr>
      <w:r>
        <w:t xml:space="preserve">Анализ на клинико-биологичните фактори и вирусния вариант</w:t>
      </w:r>
    </w:p>
    <w:bookmarkStart w:id="41" w:name="възраст"/>
    <w:p>
      <w:pPr>
        <w:pStyle w:val="Heading2"/>
      </w:pPr>
      <w:r>
        <w:t xml:space="preserve">Възраст</w:t>
      </w:r>
    </w:p>
    <w:p>
      <w:pPr>
        <w:pStyle w:val="FirstParagraph"/>
      </w:pPr>
      <w:r>
        <w:t xml:space="preserve">По отнощение на възрастта се набюдават несигнификатни различия между основните вирусни варианти. За Delta средната вързраст е най-малка - 57,9 г. (95% CI 53.7- 62.1), а най-висока се установява за пациентите с вариант Алфа - 67.2 г. (95% CI 50.3- 84.1).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Вариант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Вариант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Разлика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Omicron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age_by_variant-1.pdf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Възрастово разпределение по вариант и пол. Поради малкия брой на наблюдение, вариант алфа не е включен в анализа.</w:t>
            </w:r>
          </w:p>
        </w:tc>
      </w:tr>
    </w:tbl>
    <w:bookmarkEnd w:id="41"/>
    <w:bookmarkStart w:id="45" w:name="пол"/>
    <w:p>
      <w:pPr>
        <w:pStyle w:val="Heading2"/>
      </w:pPr>
      <w:r>
        <w:t xml:space="preserve">Пол</w:t>
      </w:r>
    </w:p>
    <w:p>
      <w:pPr>
        <w:pStyle w:val="FirstParagraph"/>
      </w:pPr>
      <w:r>
        <w:t xml:space="preserve">По отношение на разпределнието на пола спрямо вариантите, също не се набюдава статистическа значима разлика. Сред изследваните мъжете преобладават сред пациентите с установен Омикрон n = 36 (51.4%). Жените са с по-висок относителен дял сред хоспитализираните с вариант Алфа (n =5 ; 62.5%) и вариант Делта (n =65 ; 58%).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sex_by_variant-1.pdf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Полово разпределение по вариант. В синьо - относителния дял на мъжете, в червено - относителния дял на жените</w:t>
            </w:r>
          </w:p>
        </w:tc>
      </w:tr>
    </w:tbl>
    <w:bookmarkEnd w:id="45"/>
    <w:bookmarkStart w:id="49" w:name="леталитет"/>
    <w:p>
      <w:pPr>
        <w:pStyle w:val="Heading2"/>
      </w:pPr>
      <w:r>
        <w:t xml:space="preserve">Леталитет</w:t>
      </w:r>
    </w:p>
    <w:p>
      <w:pPr>
        <w:pStyle w:val="FirstParagraph"/>
      </w:pPr>
      <w:r>
        <w:t xml:space="preserve">Наблюдават се и различия по отношение на относителните дялове на починалите пациенти за всеки от вариантите. С установен вариант Delta, починали са 29 пациенти (29.6%), докато за ваирнт Omicron починали са 1,6 пъти по-малко n=18; (27.7%).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deaths_proportion-1.pdf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Относителен дял на смъртните случаи по вариантии</w:t>
            </w:r>
          </w:p>
        </w:tc>
      </w:tr>
    </w:tbl>
    <w:bookmarkEnd w:id="49"/>
    <w:bookmarkStart w:id="53" w:name="продължителност-на-хоспитализацията"/>
    <w:p>
      <w:pPr>
        <w:pStyle w:val="Heading2"/>
      </w:pPr>
      <w:r>
        <w:t xml:space="preserve">Продължителност на хоспитализацията</w:t>
      </w:r>
    </w:p>
    <w:p>
      <w:pPr>
        <w:pStyle w:val="FirstParagraph"/>
      </w:pPr>
      <w:r>
        <w:t xml:space="preserve">В анализа на извадката от пациенти с изпратени проби се наблюдава и разлика по отношение на продължителността на хоспитализацията. При пациентите с ваирнт Alpha, медианата на болничния престой е 9 дни (IQR 6-12 ); при пациентите с вариант Делта 8 дни (IQR 2-14), докато при пациентите с вариант Omicron 7 дни (IQR 1-13). Високия болничен престой в комбинация с високата вариабилност, определя и високата клинична тежест на Делта варианта.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lengh_of_stay_by_variant-1.pdf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Продължителност на болничния престой според варианта</w:t>
            </w:r>
          </w:p>
        </w:tc>
      </w:tr>
    </w:tbl>
    <w:bookmarkEnd w:id="53"/>
    <w:bookmarkStart w:id="57" w:name="време-за-настъпва-на-смърта"/>
    <w:p>
      <w:pPr>
        <w:pStyle w:val="Heading2"/>
      </w:pPr>
      <w:r>
        <w:t xml:space="preserve">Време за настъпва на смърта</w:t>
      </w:r>
    </w:p>
    <w:p>
      <w:pPr>
        <w:pStyle w:val="FirstParagraph"/>
      </w:pPr>
      <w:r>
        <w:t xml:space="preserve">Различия се наблюдават и във времетол до настъпване на смъртния изход. При вариант Делта медианата на времето до настъпването на смърт е 8 дни, спрямо 9,5 за вариант Омикрон.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deaths_days_by_variant-1.pdf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Време до настъпване на смърта при починалите според варианта</w:t>
            </w:r>
          </w:p>
        </w:tc>
      </w:tr>
    </w:tbl>
    <w:bookmarkEnd w:id="57"/>
    <w:bookmarkEnd w:id="58"/>
    <w:bookmarkStart w:id="62" w:name="Xfb8c1860aa5d8d8ffa25a063e08ed2f86d46778"/>
    <w:p>
      <w:pPr>
        <w:pStyle w:val="Heading1"/>
      </w:pPr>
      <w:r>
        <w:t xml:space="preserve">Оценка на леталитета спрямо вирусния вариант</w:t>
      </w:r>
    </w:p>
    <w:p>
      <w:pPr>
        <w:pStyle w:val="FirstParagraph"/>
      </w:pPr>
      <w:r>
        <w:t xml:space="preserve">За да се оцени ефектът на Вариантът спрямо болничния леталитет, се построй регресионен модел (поасон модел) включваща променливите пол, възраст и вариант. Като резултат от следмоделното сравнение, се установява разлика между Omicron / Delta вариантите върху относителния риск за смърт при хоспитализираните от 0,74. Това може да се тълкува и като увеличение на относителния риск за смърт с 1.35 пъти (или увеличение с 35%) при Делта вариантът спрямо омикрон, независимо от пола и възрастта.</w:t>
      </w:r>
    </w:p>
    <w:p>
      <w:pPr>
        <w:pStyle w:val="BodyText"/>
      </w:pPr>
      <w:r>
        <w:t xml:space="preserve">По отношение на възрастта - сравнението е направено спрямо пациентите на възраст 40 г. (x - sd - минус 1 стандартно отклонение от средната възраст в извадката) и тези на 81 г. (x + sd - плюс 1 стандартно отклонение от средната възраст в извадката). Установява се, по-висок относителен риск за болнична смърт асоцииран с възратта, като по-възрастните са с 8.18 по-висок риск, независимо от варианта и пола.</w:t>
      </w:r>
    </w:p>
    <w:p>
      <w:pPr>
        <w:pStyle w:val="BodyText"/>
      </w:pPr>
      <w:r>
        <w:t xml:space="preserve">За последния признак пол, резултатите са в синхрон с вече известни данни - рискът за болнична смърт се повишава с 1,33 пъти (или с 33%) при мъжете в сравнение с пациентите жени.</w:t>
      </w:r>
    </w:p>
    <w:p>
      <w:pPr>
        <w:pStyle w:val="TableCaption"/>
      </w:pPr>
      <w:r>
        <w:t xml:space="preserve">Сравнение на променливите в регресиония модел</w:t>
      </w:r>
      <w:r>
        <w:t xml:space="preserve"> </w:t>
      </w:r>
    </w:p>
    <w:tbl>
      <w:tblPr>
        <w:tblStyle w:val="Table"/>
        <w:tblW w:type="pct" w:w="5100"/>
        <w:tblLook w:firstRow="1" w:lastRow="0" w:firstColumn="0" w:lastColumn="0" w:noHBand="0" w:noVBand="0" w:val="0020"/>
        <w:tblCaption w:val="Сравнение на променливите в регресиония модел "/>
      </w:tblPr>
      <w:tblGrid>
        <w:gridCol w:w="2534"/>
        <w:gridCol w:w="1108"/>
        <w:gridCol w:w="1108"/>
        <w:gridCol w:w="1108"/>
        <w:gridCol w:w="1108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контраст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Omicron / 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Мъж / Жена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(x - sd) / (x + 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14.11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atanasova_analysis_files/figure-docx/regr_plot-1.pdf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Разлика в шансът за смърт спрямо пола и възрастта</w:t>
            </w:r>
          </w:p>
        </w:tc>
      </w:tr>
    </w:tbl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df" /><Relationship Type="http://schemas.openxmlformats.org/officeDocument/2006/relationships/image" Id="rId23" Target="media/rId23.pdf" /><Relationship Type="http://schemas.openxmlformats.org/officeDocument/2006/relationships/image" Id="rId26" Target="media/rId26.pdf" /><Relationship Type="http://schemas.openxmlformats.org/officeDocument/2006/relationships/image" Id="rId54" Target="media/rId54.pdf" /><Relationship Type="http://schemas.openxmlformats.org/officeDocument/2006/relationships/image" Id="rId46" Target="media/rId46.pdf" /><Relationship Type="http://schemas.openxmlformats.org/officeDocument/2006/relationships/image" Id="rId20" Target="media/rId20.pdf" /><Relationship Type="http://schemas.openxmlformats.org/officeDocument/2006/relationships/image" Id="rId29" Target="media/rId29.pdf" /><Relationship Type="http://schemas.openxmlformats.org/officeDocument/2006/relationships/image" Id="rId50" Target="media/rId50.pdf" /><Relationship Type="http://schemas.openxmlformats.org/officeDocument/2006/relationships/image" Id="rId59" Target="media/rId59.pdf" /><Relationship Type="http://schemas.openxmlformats.org/officeDocument/2006/relationships/image" Id="rId42" Target="media/rId42.pdf" /><Relationship Type="http://schemas.openxmlformats.org/officeDocument/2006/relationships/image" Id="rId33" Target="media/rId3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OMICRON – УСПОКОЕНИЕ ИЛИ ПРЕДИЗВИКАТЕЛСТВО?</dc:title>
  <dc:creator>Анализ на данни</dc:creator>
  <cp:keywords/>
  <dcterms:created xsi:type="dcterms:W3CDTF">2022-08-16T12:52:06Z</dcterms:created>
  <dcterms:modified xsi:type="dcterms:W3CDTF">2022-08-16T12:52:06Z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-location">
    <vt:lpwstr>margin</vt:lpwstr>
  </property>
  <property fmtid="{D5CDD505-2E9C-101B-9397-08002B2CF9AE}" pid="6" name="date">
    <vt:lpwstr>2022-08-16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Cormorant Infant</vt:lpwstr>
  </property>
  <property fmtid="{D5CDD505-2E9C-101B-9397-08002B2CF9AE}" pid="12" name="monofont">
    <vt:lpwstr>Cormorant Infant</vt:lpwstr>
  </property>
  <property fmtid="{D5CDD505-2E9C-101B-9397-08002B2CF9AE}" pid="13" name="sansfont">
    <vt:lpwstr>Cormorant Infant</vt:lpwstr>
  </property>
  <property fmtid="{D5CDD505-2E9C-101B-9397-08002B2CF9AE}" pid="14" name="toc-title">
    <vt:lpwstr>Table of contents</vt:lpwstr>
  </property>
</Properties>
</file>