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Анализ</w:t>
      </w:r>
      <w:r>
        <w:t xml:space="preserve"> </w:t>
      </w:r>
      <w:r>
        <w:t xml:space="preserve">на</w:t>
      </w:r>
      <w:r>
        <w:t xml:space="preserve"> </w:t>
      </w:r>
      <w:r>
        <w:t xml:space="preserve">регистрираните</w:t>
      </w:r>
      <w:r>
        <w:t xml:space="preserve"> </w:t>
      </w:r>
      <w:r>
        <w:t xml:space="preserve">COVID-19</w:t>
      </w:r>
      <w:r>
        <w:t xml:space="preserve"> </w:t>
      </w:r>
      <w:r>
        <w:t xml:space="preserve">случаи</w:t>
      </w:r>
    </w:p>
    <w:p>
      <w:pPr>
        <w:pStyle w:val="Author"/>
      </w:pPr>
      <w:r>
        <w:t xml:space="preserve">Кеворкян</w:t>
      </w:r>
      <w:r>
        <w:t xml:space="preserve"> </w:t>
      </w:r>
      <w:r>
        <w:t xml:space="preserve">К.,</w:t>
      </w:r>
      <w:r>
        <w:t xml:space="preserve"> </w:t>
      </w:r>
      <w:r>
        <w:t xml:space="preserve">Райчева</w:t>
      </w:r>
      <w:r>
        <w:t xml:space="preserve"> </w:t>
      </w:r>
      <w:r>
        <w:t xml:space="preserve">Р.Костадинов</w:t>
      </w:r>
      <w:r>
        <w:t xml:space="preserve"> </w:t>
      </w:r>
      <w:r>
        <w:t xml:space="preserve">К.</w:t>
      </w:r>
    </w:p>
    <w:p>
      <w:pPr>
        <w:pStyle w:val="Date"/>
      </w:pPr>
      <w:r>
        <w:t xml:space="preserve">24/03/2022</w:t>
      </w:r>
    </w:p>
    <w:bookmarkStart w:id="23" w:name="Xb6ee981f6a250e919733dfd2751e674e40cd37c"/>
    <w:p>
      <w:pPr>
        <w:pStyle w:val="Heading1"/>
      </w:pPr>
      <w:r>
        <w:t xml:space="preserve">Общо поставени васкини (брой и вид поставени ваксини; във времето по</w:t>
      </w:r>
    </w:p>
    <w:p>
      <w:pPr>
        <w:pStyle w:val="FirstParagraph"/>
      </w:pPr>
      <w:r>
        <w:t xml:space="preserve">вид ваксина; по области, по места на поставяне на ваксината/пунтове за поставяне)</w:t>
      </w:r>
    </w:p>
    <w:p>
      <w:pPr>
        <w:pStyle w:val="BodyText"/>
      </w:pPr>
      <w:r>
        <w:t xml:space="preserve">В предоставената информация по отношение на ваксинациите се установява</w:t>
      </w:r>
      <w:r>
        <w:t xml:space="preserve"> </w:t>
      </w:r>
      <w:r>
        <w:t xml:space="preserve">общ брой поставени ваксини от: 4331511. При разглеждане на процентното разпределение</w:t>
      </w:r>
      <w:r>
        <w:t xml:space="preserve"> </w:t>
      </w:r>
      <w:r>
        <w:t xml:space="preserve">по време на поставяне на дозите се очертават 2 своеобразни</w:t>
      </w:r>
      <w:r>
        <w:t xml:space="preserve"> </w:t>
      </w:r>
      <w:r>
        <w:t xml:space="preserve">“</w:t>
      </w:r>
      <w:r>
        <w:t xml:space="preserve">пика</w:t>
      </w:r>
      <w:r>
        <w:t xml:space="preserve">”</w:t>
      </w:r>
      <w:r>
        <w:t xml:space="preserve"> </w:t>
      </w:r>
      <w:r>
        <w:t xml:space="preserve">във ваксинацията.</w:t>
      </w:r>
      <w:r>
        <w:t xml:space="preserve"> </w:t>
      </w:r>
      <w:r>
        <w:t xml:space="preserve">Първия през месец април на 2021г (през който са поставени над 12% от всички дози)</w:t>
      </w:r>
      <w:r>
        <w:t xml:space="preserve"> </w:t>
      </w:r>
      <w:r>
        <w:t xml:space="preserve">Вторият пик на ваксинацията е през месеците октомври - декември на същата година.</w:t>
      </w:r>
      <w:r>
        <w:t xml:space="preserve"> </w:t>
      </w:r>
      <w:r>
        <w:t xml:space="preserve">С началото на 2022 г. се наблюдава и сериозен спад във имунизационната кампания,</w:t>
      </w:r>
      <w:r>
        <w:t xml:space="preserve"> </w:t>
      </w:r>
      <w:r>
        <w:t xml:space="preserve">като средно за страната в този период са поставени едва под 2% от всички дози.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03_covid_19_files/figure-docx/unnamed-chunk-1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Не се наблюдават съществени различия по отношение на процентното съотношение на</w:t>
      </w:r>
      <w:r>
        <w:t xml:space="preserve"> </w:t>
      </w:r>
      <w:r>
        <w:t xml:space="preserve">поставените дози по месеци.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province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11_2020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12_2020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01_2021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02_2021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03_2021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04_2021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05_2021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06_2021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07_2021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08_2021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09_2021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10_2021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11_2021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12_2021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01_2022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02_2022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Благоевград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13.711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6.942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11.077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Бургас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7.692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9.633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6.744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10.688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Варна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12.381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Велико Търново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8.985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8.765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11.822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Видин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7.999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Враца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7.481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11.452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8.601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Габрово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11.849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6.843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8.236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Добрич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7.951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Кърджали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7.749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9.968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7.846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Кюстендил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7.287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7.471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Ловеч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6.471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6.839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Монтана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7.268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11.885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Пазарджик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8.861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5.299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7.301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8.701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11.861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Перник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12.924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7.707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7.579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Плевен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11.670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Пловдив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10.396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7.579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10.759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8.454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11.083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Разград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6.741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11.775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Русе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11.413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8.797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11.627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Силистра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5.379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7.957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11.335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8.595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Сливен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6.371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6.955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Смолян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11.899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София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6.741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6.427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7.539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10.669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8.795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10.563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София (столица)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8.630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5.284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Стара Загора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10.532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6.368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Търговище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5.471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Хасково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6.917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8.846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11.614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Шумен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7.293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11.284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7.597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11.588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Ямбол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4.184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7.001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8.842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12.112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8.102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5.181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5.528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4.759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6.954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11.799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9.556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11.830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2.769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0.624</w:t>
            </w:r>
          </w:p>
        </w:tc>
      </w:tr>
    </w:tbl>
    <w:bookmarkEnd w:id="23"/>
    <w:bookmarkStart w:id="24" w:name="по-отношение-на-местата-на-поставяне"/>
    <w:p>
      <w:pPr>
        <w:pStyle w:val="Heading1"/>
      </w:pPr>
      <w:r>
        <w:t xml:space="preserve">По отношение на местата на поставяне:</w:t>
      </w:r>
    </w:p>
    <w:p>
      <w:pPr>
        <w:pStyle w:val="FirstParagraph"/>
      </w:pPr>
      <w:r>
        <w:t xml:space="preserve">Най-висок процент от поставените ваксини са поставени в лечебни заведения за</w:t>
      </w:r>
      <w:r>
        <w:t xml:space="preserve"> </w:t>
      </w:r>
      <w:r>
        <w:t xml:space="preserve">Първична извънболнична медицинска помощ (37%), следвани от лечебни заведения за</w:t>
      </w:r>
      <w:r>
        <w:t xml:space="preserve"> </w:t>
      </w:r>
      <w:r>
        <w:t xml:space="preserve">болнична медицинска помощ с поставени близо 33% от всички дози. В категория други</w:t>
      </w:r>
      <w:r>
        <w:t xml:space="preserve"> </w:t>
      </w:r>
      <w:r>
        <w:t xml:space="preserve">(null) - в т.ч специално разкрити пунктове са поставени 13,2 % от всички дози.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doses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freq_proc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Special partner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573,509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13.217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ЛЗБП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1,427,229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32.891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Медико-дентален център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37,377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Медицински лаборатории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14,577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Медицински центрове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422,140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9.728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Първична извънболнична медицинска помощ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1,606,248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37.016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Първична извънболнична стоматологична помощ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5,652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Специализирана извънболнична медицинска помощ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239,404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5.517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Специализирана извънболнична стоматологична помощ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0.012</w:t>
            </w:r>
          </w:p>
        </w:tc>
      </w:tr>
    </w:tbl>
    <w:bookmarkEnd w:id="24"/>
    <w:bookmarkStart w:id="25" w:name="по-отношение-на-разделението-по-области"/>
    <w:p>
      <w:pPr>
        <w:pStyle w:val="Heading1"/>
      </w:pPr>
      <w:r>
        <w:t xml:space="preserve">По отношение на разделението по области</w:t>
      </w:r>
    </w:p>
    <w:p>
      <w:pPr>
        <w:pStyle w:val="FirstParagraph"/>
      </w:pPr>
      <w:r>
        <w:t xml:space="preserve">В област София - столица са реализирани</w:t>
      </w:r>
      <w:r>
        <w:t xml:space="preserve"> </w:t>
      </w:r>
      <w:r>
        <w:t xml:space="preserve">26.2 % от всички дози за страната в разглеждания период. Дори при разглеждането</w:t>
      </w:r>
      <w:r>
        <w:t xml:space="preserve"> </w:t>
      </w:r>
      <w:r>
        <w:t xml:space="preserve">на ваксинационото покритие като реализирани дози на 100 души население (което е</w:t>
      </w:r>
      <w:r>
        <w:t xml:space="preserve"> </w:t>
      </w:r>
      <w:r>
        <w:t xml:space="preserve">методологично неправилно) в София (столица) отново се наблюдава най-високо съотношение</w:t>
      </w:r>
      <w:r>
        <w:t xml:space="preserve"> </w:t>
      </w:r>
      <w:r>
        <w:t xml:space="preserve">със средно 86.19545 дози на 100 жители.</w:t>
      </w:r>
    </w:p>
    <w:p>
      <w:pPr>
        <w:pStyle w:val="SourceCode"/>
      </w:pPr>
      <w:r>
        <w:rPr>
          <w:rStyle w:val="VerbatimChar"/>
        </w:rPr>
        <w:t xml:space="preserve">## Joining, by = "region"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freq_proc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vac_rate_per_100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Благоевград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50.15633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Бургас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62.77809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Варна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64.97959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Велико Търново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49.76357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Видин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44.94078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Враца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58.26992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Габрово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65.38190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Добрич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55.66679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Кърджали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62.85249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Кюстендил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64.78457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Ловеч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56.51578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Монтана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39.89049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Пазарджик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47.15321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Перник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53.44969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Плевен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62.30428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Пловдив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9.745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63.43269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Разград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57.96944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Русе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59.13182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Силистра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49.90180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Сливен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49.65337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Смолян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44.53532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София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72.35347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София (столица)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86.19545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Стара Загора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52.00738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Търговище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47.78380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Хасково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50.10090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Шумен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52.45216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Ямбол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1.502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55.75290</w:t>
            </w:r>
          </w:p>
        </w:tc>
      </w:tr>
    </w:tbl>
    <w:bookmarkEnd w:id="25"/>
    <w:bookmarkStart w:id="26" w:name="Xde3c68e7f7722dfcff534ca643a78e9ce42fa17"/>
    <w:p>
      <w:pPr>
        <w:pStyle w:val="Heading1"/>
      </w:pPr>
      <w:r>
        <w:t xml:space="preserve">Има ли зависмост между областите с висока смъртност/леталите и имунизационния обхват?</w:t>
      </w:r>
    </w:p>
    <w:p>
      <w:pPr>
        <w:pStyle w:val="FirstParagraph"/>
      </w:pPr>
      <w:r>
        <w:t xml:space="preserve">Наблюдава се умерена, отрицателна статистически значима корелация между броя на поставените дози на 100/население и леталитета от ковид-19 (r = -0.52, p&lt;0.05).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Parameter1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Parameter2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CI_low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CI_high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df_error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Method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n_Obs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case_fatality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doses_per_capita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-0.5218443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-0.7490836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-0.1847326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-3.119305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0.00439707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Pearson correlation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</w:tr>
    </w:tbl>
    <w:bookmarkEnd w:id="26"/>
    <w:bookmarkStart w:id="28" w:name="X29630b1cfcf4959abc0506d8a82bd50ed2efd22"/>
    <w:p>
      <w:pPr>
        <w:pStyle w:val="Heading1"/>
      </w:pPr>
      <w:r>
        <w:t xml:space="preserve">Разпределение на ваксинираните –с еднодозова, двудозова схема и с бустер:</w:t>
      </w:r>
    </w:p>
    <w:p>
      <w:pPr>
        <w:pStyle w:val="FirstParagraph"/>
      </w:pPr>
      <w:r>
        <w:t xml:space="preserve">В най-висок относителен дял са използвани дози при ваксини с двудозов режим на приложение, над 3 милиона от всички поставени дози са именно с такъв тип ваксини (72,97 %). Около 500 хил. от поставените дози са с еднодозов режим (11,58%). Над 669 хил. от дозите (15,5%) са приложени като бустер.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regime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doses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freq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two_dose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3,160,574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0.7296701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one_dose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501,915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0.1158753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booster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669,022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0.1544546</w:t>
            </w:r>
          </w:p>
        </w:tc>
      </w:tr>
    </w:tbl>
    <w:bookmarkStart w:id="27" w:name="Xf70dbe5160d489ecc48794597c197a0071149cf"/>
    <w:p>
      <w:pPr>
        <w:pStyle w:val="Heading2"/>
      </w:pPr>
      <w:r>
        <w:t xml:space="preserve">разпределение на ваксинираните със завършена схема (във времето, разпределение по области, по вид ваксина, възрастова структура)</w:t>
      </w:r>
    </w:p>
    <w:p>
      <w:pPr>
        <w:pStyle w:val="FirstParagraph"/>
      </w:pPr>
      <w:r>
        <w:t xml:space="preserve">2 085 792 са поставените дози със завършена схема на ваксинация (48.15%), 669022 дози са поставени като бустер (15,4%). 36.45% от дозите са поставени като непълен курс на ваксинация (една доза при двудозов режим на прием)</w:t>
      </w:r>
    </w:p>
    <w:p>
      <w:pPr>
        <w:pStyle w:val="BodyText"/>
      </w:pPr>
      <w:r>
        <w:t xml:space="preserve">С предоставените данни няма как да се определи разпределението по принзак</w:t>
      </w:r>
      <w:r>
        <w:t xml:space="preserve"> </w:t>
      </w:r>
      <w:r>
        <w:t xml:space="preserve">“</w:t>
      </w:r>
      <w:r>
        <w:t xml:space="preserve">завършена ваксинация</w:t>
      </w:r>
      <w:r>
        <w:t xml:space="preserve">”</w:t>
      </w:r>
      <w:r>
        <w:t xml:space="preserve"> </w:t>
      </w:r>
      <w:r>
        <w:t xml:space="preserve">във времето и по възрастова група.</w:t>
      </w:r>
    </w:p>
    <w:p>
      <w:pPr>
        <w:pStyle w:val="BodyText"/>
      </w:pPr>
      <w:r>
        <w:t xml:space="preserve">От използваните дози в най-голяма степен са от ваксинационият препарат Comirnaty, като той представлява над 2 мил и 850 хил. от всички поставени дози (65,8%). Всички останали препарати са представени сравнително в еднаква степен с относителен дял около 11%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vac_type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doses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freq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478,330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0.1104303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Comirnaty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2,850,429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0.6580681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Janssen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511,197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0.1180182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Moderna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491,555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0.1134835</w:t>
            </w:r>
          </w:p>
        </w:tc>
      </w:tr>
    </w:tbl>
    <w:p>
      <w:pPr>
        <w:pStyle w:val="BodyText"/>
      </w:pPr>
      <w:r>
        <w:t xml:space="preserve">По отношение на двуфакторното разделение по типа на ваксина и област не се наблюдават съществени различия от разпределението на дозите средно за страната. Дозите от ваксината на AZ са в най-висока степен утилизирани в област Смолян - 15,9% от всички изпозлвани дози в областта, а в най-малка степен в област Варна - 7,3 % от всички поставени дози.</w:t>
      </w:r>
      <w:r>
        <w:t xml:space="preserve"> </w:t>
      </w:r>
      <w:r>
        <w:t xml:space="preserve">За ваксината на Pfizer - Comirnaty - в най-голяма степен е разпределена в област Търговище (82%), а най-слабо в София (столица) 55,5 %. Област Варна се характерезира и с отчетливо разпределение на ваксинационите дози на ваксината Janssen (17,2%) същата е най-слабо представена в Търговище (3,8%). Moderna e представена отчетливо в област София (столица) - 17,2 % от всички дози в областта и най-слабо в Търговище 4,5 %</w:t>
      </w:r>
    </w:p>
    <w:p>
      <w:pPr>
        <w:pStyle w:val="SourceCode"/>
      </w:pPr>
      <w:r>
        <w:rPr>
          <w:rStyle w:val="VerbatimChar"/>
        </w:rPr>
        <w:t xml:space="preserve">## `summarise()` has grouped output by 'province'. You can override using the</w:t>
      </w:r>
      <w:r>
        <w:br/>
      </w:r>
      <w:r>
        <w:rPr>
          <w:rStyle w:val="VerbatimChar"/>
        </w:rPr>
        <w:t xml:space="preserve">## `.groups` argument.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province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AZ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Comirnaty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Janssen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Moderna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Благоевград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11.307224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63.81516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12.246626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12.630987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Бургас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11.942421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68.85392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11.007587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8.196070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Варна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7.305054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72.57020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13.087086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7.037656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Велико Търново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14.102586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67.13664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11.617173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7.143604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Видин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13.341121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67.61294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12.121377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6.924561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Враца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9.357245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65.74684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17.159648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7.736262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Габрово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12.095042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67.77779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10.621549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9.505616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Добрич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7.966091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73.50176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12.346705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6.185448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Кърджали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8.198933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77.69351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9.234167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4.873394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Кюстендил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10.860705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69.10912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11.272265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8.757907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Ловеч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9.113653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73.98516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8.358762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8.542423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Монтана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13.406453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62.99341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15.138245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8.461891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Пазарджик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12.864767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67.12478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11.463454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8.547001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Перник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8.355757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75.66489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9.419587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6.559762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Плевен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10.007388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63.81292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10.417151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15.762543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Пловдив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9.930120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67.44169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11.295020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11.333171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Разград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8.550756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79.28712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7.615811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4.546309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Русе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9.942436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70.39963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9.330424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10.327514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Силистра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10.129749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73.56856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10.493793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5.807897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Сливен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11.237104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62.09168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14.928180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11.743032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Смолян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15.930482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65.22786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10.112507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8.729151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София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12.332331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67.28545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10.375376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10.006847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София (столица)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12.803173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55.56569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14.467125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17.164015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Стара Загора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9.564971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67.34630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8.481097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14.607635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Търговище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9.685069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81.95409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3.817113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4.543730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Хасково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10.703184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73.95057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7.727455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7.618793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Шумен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10.203108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73.95006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7.735849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8.110988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Ямбол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11.294063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72.73481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7.338914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8.632210</w:t>
            </w:r>
          </w:p>
        </w:tc>
      </w:tr>
    </w:tbl>
    <w:p>
      <w:pPr>
        <w:pStyle w:val="FirstParagraph"/>
      </w:pPr>
      <w:r>
        <w:t xml:space="preserve">-разпредление на ваксинираните с бустер (във времето, разпределение по области, по вид ваксина, възрастова структура)</w:t>
      </w:r>
    </w:p>
    <w:p>
      <w:pPr>
        <w:pStyle w:val="BodyText"/>
      </w:pPr>
      <w:r>
        <w:t xml:space="preserve">Дози поставени като бустер са най-високо представени в област Ловеч - 17,3 % от всички поставени дози в областта представляват бустер дози. Най-ниско ниво на бустер имунизация се установява в област Кърджали, където 12% от всички изпозлвани дози представлявят бустер имунизация.</w:t>
      </w:r>
    </w:p>
    <w:p>
      <w:pPr>
        <w:pStyle w:val="SourceCode"/>
      </w:pPr>
      <w:r>
        <w:rPr>
          <w:rStyle w:val="VerbatimChar"/>
        </w:rPr>
        <w:t xml:space="preserve">## `summarise()` has grouped output by 'province'. You can override using the</w:t>
      </w:r>
      <w:r>
        <w:br/>
      </w:r>
      <w:r>
        <w:rPr>
          <w:rStyle w:val="VerbatimChar"/>
        </w:rPr>
        <w:t xml:space="preserve">## `.groups` argument.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province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boosters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freq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Благоевград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21,723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0.1437087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Бургас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39,764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0.1549510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Варна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45,508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0.1493099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Велико Търново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19,185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0.1670731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Видин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0.1664720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Враца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13,717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0.1487292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Габрово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11,812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0.1703023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Добрич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13,632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0.1433770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Кърджали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0.1214801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Кюстендил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12,972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0.1716645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Ловеч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11,985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0.1733214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Монтана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0.1504270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Пазарджик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19,464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0.1641105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Перник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0.1547559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Плевен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24,443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0.1672094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Пловдив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66,506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0.1575938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Разград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0.1465687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Русе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20,075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0.1587358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Силистра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8,389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0.1566135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Сливен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14,367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0.1580146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Смолян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0.1640765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София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27,475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0.1635757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София (столица)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165,816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0.1462162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Стара Загора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26,971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0.1662865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Търговище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8,813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0.1671979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Хасково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18,517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0.1649254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Шумен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14,303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0.1587458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Ямбол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10,996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0.1688964</w:t>
            </w:r>
          </w:p>
        </w:tc>
      </w:tr>
    </w:tbl>
    <w:p>
      <w:pPr>
        <w:pStyle w:val="FirstParagraph"/>
      </w:pPr>
      <w:r>
        <w:t xml:space="preserve">По вид дози изпозлвани, като бустер отново се запазва предимството на Comirnaty с над 84% от всички поставени бустер дози, като втора по-разпростанение е ваксината на Moderna, използвана като бустер при 14,4% от случайте. Най-слабо представена е бустер - имунизацията с Janssen, при която бустер представляват 1,3% от всички поставени бустер дози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vac_type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doses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freq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Comirnaty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563,369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0.84207844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Janssen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9,282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0.01387398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Moderna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96,371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0.14404758</w:t>
            </w:r>
          </w:p>
        </w:tc>
      </w:tr>
    </w:tbl>
    <w:p>
      <w:pPr>
        <w:pStyle w:val="BodyText"/>
      </w:pPr>
      <w:r>
        <w:t xml:space="preserve">Разпределение по вид ваксина за бустер и област</w:t>
      </w:r>
    </w:p>
    <w:p>
      <w:pPr>
        <w:pStyle w:val="SourceCode"/>
      </w:pPr>
      <w:r>
        <w:rPr>
          <w:rStyle w:val="VerbatimChar"/>
        </w:rPr>
        <w:t xml:space="preserve">## `summarise()` has grouped output by 'province'. You can override using the</w:t>
      </w:r>
      <w:r>
        <w:br/>
      </w:r>
      <w:r>
        <w:rPr>
          <w:rStyle w:val="VerbatimChar"/>
        </w:rPr>
        <w:t xml:space="preserve">## `.groups` argument.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province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Comirnaty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Janssen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Moderna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Благоевград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80.34341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1.0495788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18.607006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Бургас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88.07464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0.6337391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11.291621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Варна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89.14696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1.7095895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9.143447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Велико Търново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91.12849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1.6158457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7.255668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Видин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90.55157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0.9301567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8.518277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Враца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85.36123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1.9319093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12.706860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Габрово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87.35185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0.8127328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11.835422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Добрич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93.54460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1.2690728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5.186326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Кърджали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95.54166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1.2338570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3.224480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Кюстендил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86.94881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1.0021585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12.049029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Ловеч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89.91239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1.7688778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8.318732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Монтана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88.91094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1.7467249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9.342332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Пазарджик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89.94040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0.9607480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9.098849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Перник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92.51921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0.6065507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6.874242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Плевен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82.20349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2.1192161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15.677290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Пловдив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84.17586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1.2089135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14.615223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Разград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95.71535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0.7158884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3.568757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Русе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89.72354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0.8966376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9.379826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Силистра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91.63190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1.9668614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6.401240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Сливен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82.99575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1.9349899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15.069256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Смолян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92.74280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0.8537887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6.403415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София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84.08735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1.2957234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14.616924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София (столица)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73.48989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1.8418006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24.668307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Стара Загора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83.70843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1.3162285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14.975344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Търговище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96.26688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0.2496312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3.483490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Хасково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92.26657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1.1934979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6.539936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Шумен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89.06523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0.8879256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10.046843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Ямбол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91.06039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0.3728629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8.566752</w:t>
            </w:r>
          </w:p>
        </w:tc>
      </w:tr>
    </w:tbl>
    <w:p>
      <w:pPr>
        <w:pStyle w:val="FirstParagraph"/>
      </w:pPr>
      <w:r>
        <w:t xml:space="preserve">В предоставените данни не е възможно разпределeнието на бустер ваксинациите във времето и по възрастови групи.</w:t>
      </w:r>
    </w:p>
    <w:bookmarkEnd w:id="27"/>
    <w:bookmarkEnd w:id="28"/>
    <w:bookmarkStart w:id="31" w:name="структура-на-ваксинираните"/>
    <w:p>
      <w:pPr>
        <w:pStyle w:val="Heading1"/>
      </w:pPr>
      <w:r>
        <w:t xml:space="preserve">Структура на ваксинираните:</w:t>
      </w:r>
    </w:p>
    <w:bookmarkStart w:id="29" w:name="Xe12ca22fc995cc70809f0724770ebaee30f6a7b"/>
    <w:p>
      <w:pPr>
        <w:pStyle w:val="Heading2"/>
      </w:pPr>
      <w:r>
        <w:t xml:space="preserve">ваксинираните сред заболели – относителен дял от всички заболели</w:t>
      </w:r>
    </w:p>
    <w:p>
      <w:pPr>
        <w:pStyle w:val="FirstParagraph"/>
      </w:pPr>
      <w:r>
        <w:t xml:space="preserve">Сред регистрираните инфектирани 12,8 % са с поставена поне една доза ваксина срещу COVID-19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vac_status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982,884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87.2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144,061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12.8</w:t>
            </w:r>
          </w:p>
        </w:tc>
      </w:tr>
    </w:tbl>
    <w:p>
      <w:pPr>
        <w:pStyle w:val="BodyText"/>
      </w:pPr>
      <w:r>
        <w:t xml:space="preserve">разпределение по пол</w:t>
      </w:r>
    </w:p>
    <w:p>
      <w:pPr>
        <w:pStyle w:val="BodyText"/>
      </w:pPr>
      <w:r>
        <w:t xml:space="preserve">Сред ваксинираните, заболели пробладават жените 55,1% спрямо мъжете 44,9 %.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79,344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64,717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44.9</w:t>
            </w:r>
          </w:p>
        </w:tc>
      </w:tr>
    </w:tbl>
    <w:p>
      <w:pPr>
        <w:pStyle w:val="BodyText"/>
      </w:pPr>
      <w:r>
        <w:t xml:space="preserve">по възрастови групи: Сред ваксинираните инфектирани спрямо възрастовите групи най-представени са пациентите в диапазона 45-54 г. (21,5% от всички ваксинирани заболели.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25-34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18,757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35-44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28,517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45-54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30,988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27,547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65-74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19,870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75-84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85-94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 95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</w:tr>
    </w:tbl>
    <w:p>
      <w:pPr>
        <w:pStyle w:val="BodyText"/>
      </w:pPr>
      <w:r>
        <w:t xml:space="preserve">по региони</w:t>
      </w:r>
    </w:p>
    <w:p>
      <w:pPr>
        <w:pStyle w:val="BodyText"/>
      </w:pPr>
      <w:r>
        <w:t xml:space="preserve">Най-висока заболевамост сред ваксинирани се установява в София (столица), като средно за целия период, само за ваксинирани заболявамостта е 37.1/1000 души. Най-ниска е заболевамостта сред ваксинираните в област Кърджали 5.47/1000 за изследвания период.</w:t>
      </w:r>
    </w:p>
    <w:p>
      <w:pPr>
        <w:pStyle w:val="SourceCode"/>
      </w:pPr>
      <w:r>
        <w:rPr>
          <w:rStyle w:val="VerbatimChar"/>
        </w:rPr>
        <w:t xml:space="preserve">## Joining, by = "province"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province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inf_rate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Благоевград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17.783092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Бургас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24.033748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Варна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27.240165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Велико Търново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10.569215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Видин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13.069425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Враца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18.813839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Габрово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20.330907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Добрич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14.404850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Кърджали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5.473612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Кюстендил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18.010225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Ловеч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15.254901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Монтана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12.416996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Пазарджик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11.609360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Перник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21.000267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Плевен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14.986918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Пловдив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18.544868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Разград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10.344562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Русе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15.814818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Силистра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14.380788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Сливен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16.450760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Смолян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10.495621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София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19.322924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София (столица)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37.156805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Стара Загора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17.583339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Търговище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10.871681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Хасково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12.210931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Шумен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13.765721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Ямбол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14.797644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FirstParagraph"/>
      </w:pPr>
      <w:r>
        <w:t xml:space="preserve">по вид ваксина;</w:t>
      </w:r>
    </w:p>
    <w:p>
      <w:pPr>
        <w:pStyle w:val="BodyText"/>
      </w:pPr>
      <w:r>
        <w:t xml:space="preserve">Според вида на приложената ваксина при инфектираните заразени в най-голяма степен се установят инфектираните ваксинирани с Comirnaty, които представляват 53.6 % от всички ваксинирани и инфектирани. На второ място е ваксината на Janssen, която са използвали 21,4 % от ваксинираните инфектирани пациенти.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vaccine_name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15,324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AZ - COM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AZ - COM - MOD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AZ - JANSS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AZ - MOD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77,217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 - JANSS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 - JANSS - MOD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 - MOD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JANSS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30,844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JANSS - MOD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13,085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9.1</w:t>
            </w:r>
          </w:p>
        </w:tc>
      </w:tr>
    </w:tbl>
    <w:p>
      <w:pPr>
        <w:pStyle w:val="BodyText"/>
      </w:pPr>
      <w:r>
        <w:t xml:space="preserve">Наблюдава се и асоциация между вида на изпозлваната ваксина и леталитета, като най-висок леталитет се установява сред пациентите имунизирани с поне една доза на AZ, а най-ниска сред пациентите ваксинирани поне с една доза на comintary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55"/>
        <w:gridCol w:w="1897"/>
        <w:gridCol w:w="2483"/>
        <w:gridCol w:w="2129"/>
        <w:gridCol w:w="2715"/>
        <w:gridCol w:w="2324"/>
        <w:gridCol w:w="2129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AZ, N = 15,324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AZ - COM, N = 5,150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COM, N = 77,217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 - MOD, N = 1,230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JANSS, N = 30,844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MOD, N = 13,085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case_fatality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577 (3.8%)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 (0.6%)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1,153 (1.5%)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(0.7%)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370 (1.2%)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160 (1.2%)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bookmarkEnd w:id="29"/>
    <w:bookmarkStart w:id="30" w:name="X8f37bbd064637e39deea40f75fb7b411adfdcef"/>
    <w:p>
      <w:pPr>
        <w:pStyle w:val="Heading2"/>
      </w:pPr>
      <w:r>
        <w:t xml:space="preserve">неваксинирани сред заболели - разпределение по пол, по възрастови групи, по региони;</w:t>
      </w:r>
    </w:p>
    <w:p>
      <w:pPr>
        <w:pStyle w:val="FirstParagraph"/>
      </w:pPr>
      <w:r>
        <w:t xml:space="preserve">По пол сред заразените - неваксинирани се наблюдава подобна тенденция: жените са представени в по-голяма степен като представляват 53,6 % от всички инфектирани неваксинирани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526,491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456,393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46.4</w:t>
            </w:r>
          </w:p>
        </w:tc>
      </w:tr>
    </w:tbl>
    <w:p>
      <w:pPr>
        <w:pStyle w:val="BodyText"/>
      </w:pPr>
      <w:r>
        <w:t xml:space="preserve">По възрастови групи - в най-голяма степен подобно на ваксинираните е представена групата от 45-54 години, като те представляват и 17,8 % от всички неваксинирани инфектирани.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56,413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74,029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25-34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131,490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35-44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167,032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45-54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175,099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162,681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65-74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131,604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75-84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68,059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85-94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16,029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 95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</w:tr>
    </w:tbl>
    <w:p>
      <w:pPr>
        <w:pStyle w:val="BodyText"/>
      </w:pPr>
      <w:r>
        <w:t xml:space="preserve">Заболевамостта следва подобна тенденция по отношение на разпределнието по области както в групата на ваксинираните, като очаквано няколко пъти по -висока. Отново най-ниска се установява в област Кърждали 55.87/1000 население в изследвания период, а най-висока в област София (столица) 180.02/1000 за изследвания период.</w:t>
      </w:r>
    </w:p>
    <w:p>
      <w:pPr>
        <w:pStyle w:val="SourceCode"/>
      </w:pPr>
      <w:r>
        <w:rPr>
          <w:rStyle w:val="VerbatimChar"/>
        </w:rPr>
        <w:t xml:space="preserve">## Joining, by = "province"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province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inf_rate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Благоевград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147.04752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Бургас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156.33658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Варна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173.74514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Велико Търново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108.49561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Видин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116.68607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Враца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145.41464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Габрово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154.29454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Добрич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108.66776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Кърджали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55.86470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Кюстендил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156.85939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Ловеч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118.21936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Монтана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138.86115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Пазарджик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104.93259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Перник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164.63007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Плевен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122.99491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Пловдив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133.64997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Разград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86.59151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Русе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140.20355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Силистра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121.68288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Сливен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126.38612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Смолян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111.31395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София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152.72161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София (столица)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180.02565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Стара Загора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147.60658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Търговище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98.29774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Хасково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108.74456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Шумен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115.17165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Ямбол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131.75036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30"/>
    <w:bookmarkEnd w:id="31"/>
    <w:bookmarkStart w:id="34" w:name="структура-на-починалите"/>
    <w:p>
      <w:pPr>
        <w:pStyle w:val="Heading1"/>
      </w:pPr>
      <w:r>
        <w:t xml:space="preserve">Структура на починалите:</w:t>
      </w:r>
    </w:p>
    <w:bookmarkStart w:id="32" w:name="Xb37b6887c82ddbcd77d73a19a40b420e64129e2"/>
    <w:p>
      <w:pPr>
        <w:pStyle w:val="Heading2"/>
      </w:pPr>
      <w:r>
        <w:t xml:space="preserve">починали сред васкинираните - относителен дял от всички починали</w:t>
      </w:r>
    </w:p>
    <w:p>
      <w:pPr>
        <w:pStyle w:val="FirstParagraph"/>
      </w:pPr>
      <w:r>
        <w:t xml:space="preserve">В групата на починалите преобладават пациентите неваксинирани - 92,95% от всички починали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vac_status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30,317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92.9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2,303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</w:t>
            </w:r>
          </w:p>
        </w:tc>
      </w:tr>
    </w:tbl>
    <w:p>
      <w:pPr>
        <w:pStyle w:val="BodyText"/>
      </w:pPr>
      <w:r>
        <w:t xml:space="preserve">разпределение по пол</w:t>
      </w:r>
    </w:p>
    <w:p>
      <w:pPr>
        <w:pStyle w:val="BodyText"/>
      </w:pPr>
      <w:r>
        <w:t xml:space="preserve">Сред починалите ваксинирани преоблавадат мъжете (66,3%)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33.7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1,526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66.3</w:t>
            </w:r>
          </w:p>
        </w:tc>
      </w:tr>
    </w:tbl>
    <w:p>
      <w:pPr>
        <w:pStyle w:val="BodyText"/>
      </w:pPr>
      <w:r>
        <w:t xml:space="preserve">по възрастови групи</w:t>
      </w:r>
    </w:p>
    <w:p>
      <w:pPr>
        <w:pStyle w:val="BodyText"/>
      </w:pPr>
      <w:r>
        <w:t xml:space="preserve">При ваксинираните починали в най-голяма степен са представени пациенти в диапазона 75-84 години.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25-34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35-44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45-54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65-74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31.4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75-84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34.4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85-94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 95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</w:tbl>
    <w:p>
      <w:pPr>
        <w:pStyle w:val="BodyText"/>
      </w:pPr>
      <w:r>
        <w:t xml:space="preserve">по региони,</w:t>
      </w:r>
    </w:p>
    <w:p>
      <w:pPr>
        <w:pStyle w:val="BodyText"/>
      </w:pPr>
      <w:r>
        <w:t xml:space="preserve">Най-висок леталитет сред ваксинирани се наблюдава в област Разград 33,3 промила. Най-нисък в област София (столица) 9,7 промила</w:t>
      </w:r>
    </w:p>
    <w:p>
      <w:pPr>
        <w:pStyle w:val="SourceCode"/>
      </w:pPr>
      <w:r>
        <w:rPr>
          <w:rStyle w:val="VerbatimChar"/>
        </w:rPr>
        <w:t xml:space="preserve">## `summarise()` has grouped output by 'province'. You can override using the</w:t>
      </w:r>
      <w:r>
        <w:br/>
      </w:r>
      <w:r>
        <w:rPr>
          <w:rStyle w:val="VerbatimChar"/>
        </w:rPr>
        <w:t xml:space="preserve">## `.groups` argument.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province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case_fatality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Благоевград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16.762898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Бургас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12.497460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Варна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10.075763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Велико Търново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27.425297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Видин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19.589552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Враца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14.750251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Габрово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28.253821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Добрич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19.480519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Кърджали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20.618557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Кюстендил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20.446981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Ловеч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28.892456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Монтана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24.250160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Пазарджик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26.315789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Перник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19.872814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Плевен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25.852273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Пловдив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19.899693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Разград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33.304119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Русе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29.828706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Силистра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31.715210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Сливен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19.230769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Смолян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24.118738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София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17.801513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София (столица)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9.694867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Стара Загора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16.930639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Търговище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24.979184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Хасково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30.280919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Шумен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18.158784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Ямбол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15.606936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32"/>
    <w:bookmarkStart w:id="33" w:name="X1ca3c62d0ba6298babc388df51bb96286386af1"/>
    <w:p>
      <w:pPr>
        <w:pStyle w:val="Heading2"/>
      </w:pPr>
      <w:r>
        <w:t xml:space="preserve">починали неваксинирани- разпределение по пол, по възрастови групи, по региони;</w:t>
      </w:r>
    </w:p>
    <w:p>
      <w:pPr>
        <w:pStyle w:val="FirstParagraph"/>
      </w:pPr>
      <w:r>
        <w:t xml:space="preserve">разпределение по пол</w:t>
      </w:r>
    </w:p>
    <w:p>
      <w:pPr>
        <w:pStyle w:val="BodyText"/>
      </w:pPr>
      <w:r>
        <w:t xml:space="preserve">Пол пол неваксинираните починали мъже са 52,5%, докато жените 47,5%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14,401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47.5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15,916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52.5</w:t>
            </w:r>
          </w:p>
        </w:tc>
      </w:tr>
    </w:tbl>
    <w:p>
      <w:pPr>
        <w:pStyle w:val="BodyText"/>
      </w:pPr>
      <w:r>
        <w:t xml:space="preserve">по възрастови групи</w:t>
      </w:r>
    </w:p>
    <w:p>
      <w:pPr>
        <w:pStyle w:val="BodyText"/>
      </w:pPr>
      <w:r>
        <w:t xml:space="preserve">При неваксинираните починали в най-голяма степен отново са представени пациенти в диапазона 75-84 години, представляващи 33,5% от всички неваксинирани починали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25-34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35-44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45-54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65-74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75-84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85-94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3,767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 95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</w:tr>
    </w:tbl>
    <w:p>
      <w:pPr>
        <w:pStyle w:val="BodyText"/>
      </w:pPr>
      <w:r>
        <w:t xml:space="preserve">по региони,</w:t>
      </w:r>
    </w:p>
    <w:p>
      <w:pPr>
        <w:pStyle w:val="BodyText"/>
      </w:pPr>
      <w:r>
        <w:t xml:space="preserve">Най-висок леталитет сред неваксинирани се наблюдава в област Разград 51.19 промила. Най-нисък в област София (столица) 18.65 промила</w:t>
      </w:r>
    </w:p>
    <w:p>
      <w:pPr>
        <w:pStyle w:val="SourceCode"/>
      </w:pPr>
      <w:r>
        <w:rPr>
          <w:rStyle w:val="VerbatimChar"/>
        </w:rPr>
        <w:t xml:space="preserve">## `summarise()` has grouped output by 'province'. You can override using the</w:t>
      </w:r>
      <w:r>
        <w:br/>
      </w:r>
      <w:r>
        <w:rPr>
          <w:rStyle w:val="VerbatimChar"/>
        </w:rPr>
        <w:t xml:space="preserve">## `.groups` argument.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province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case_fatality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Благоевград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24.68691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Бургас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23.42981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Варна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23.58531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Велико Търново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46.89369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Видин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47.64392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Враца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35.43546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Габрово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38.93805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Добрич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37.82010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Кърджали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40.62851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Кюстендил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31.99389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Ловеч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42.32256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Монтана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46.79297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Пазарджик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43.67225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Перник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36.80795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Плевен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40.05123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Пловдив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36.08670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Разград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51.19883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Русе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40.47571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Силистра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40.84755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Сливен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34.22381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Смолян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45.39491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София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29.53349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София (столица)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18.64927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Стара Загора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35.37040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Търговище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45.30804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Хасково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41.04875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Шумен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35.78639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Ямбол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33.17536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33"/>
    <w:bookmarkEnd w:id="34"/>
    <w:bookmarkStart w:id="35" w:name="леталитет-по-вълни-и-по-области"/>
    <w:p>
      <w:pPr>
        <w:pStyle w:val="Heading1"/>
      </w:pPr>
      <w:r>
        <w:t xml:space="preserve">Леталитет по вълни и по области</w:t>
      </w:r>
    </w:p>
    <w:p>
      <w:pPr>
        <w:pStyle w:val="SourceCode"/>
      </w:pPr>
      <w:r>
        <w:rPr>
          <w:rStyle w:val="VerbatimChar"/>
        </w:rPr>
        <w:t xml:space="preserve">## `summarise()` has grouped output by 'province', 'wave'. You can override using</w:t>
      </w:r>
      <w:r>
        <w:br/>
      </w:r>
      <w:r>
        <w:rPr>
          <w:rStyle w:val="VerbatimChar"/>
        </w:rPr>
        <w:t xml:space="preserve">## the `.groups` argument.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province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alpha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omicron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Благоевград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14.57447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30.76032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22.749753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Бургас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16.82657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32.57698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12.256041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Варна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18.85119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32.22070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9.472966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Велико Търново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28.99743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66.73130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24.916944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Видин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26.45503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62.00618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20.033389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Враца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24.31820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48.63704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17.988395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Габрово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20.34246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57.45921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21.398914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Добрич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27.27386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51.84207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21.371138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Кърджали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26.34444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59.93867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27.448534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Кюстендил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16.83837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47.24229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24.335455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Ловеч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30.11423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57.30154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21.922956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Монтана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30.56159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59.29776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31.696706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Пазарджик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27.86078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59.24225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28.600406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Перник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22.01493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46.59961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27.951234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Плевен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30.29844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57.08262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20.951550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Пловдив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26.24936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46.99227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19.479531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Разград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31.83373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72.09776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26.249369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Русе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26.09245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58.67219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23.864959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Силистра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28.93188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65.04982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19.379845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Сливен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19.92146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50.99019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18.623482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Смолян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29.29127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61.86686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28.557830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София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27.53296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33.30885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16.066482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София (столица)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14.35276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22.56604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8.859127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Стара Загора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26.84751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46.15520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17.754712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Търговище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28.81272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69.90705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15.679443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Хасково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27.87316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56.65603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25.117151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Шумен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24.03259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58.71238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16.360331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Ямбол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19.61916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50.53349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17.665798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Анализ на регистрираните COVID-19 случаи</dc:title>
  <dc:creator>Кеворкян К., Райчева Р.Костадинов К.</dc:creator>
  <cp:keywords/>
  <dcterms:created xsi:type="dcterms:W3CDTF">2022-05-24T11:24:01Z</dcterms:created>
  <dcterms:modified xsi:type="dcterms:W3CDTF">2022-05-24T11:24:01Z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24/03/2022</vt:lpwstr>
  </property>
  <property fmtid="{D5CDD505-2E9C-101B-9397-08002B2CF9AE}" pid="3" name="output">
    <vt:lpwstr/>
  </property>
</Properties>
</file>