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Анализ</w:t>
      </w:r>
      <w:r>
        <w:t xml:space="preserve"> </w:t>
      </w:r>
      <w:r>
        <w:t xml:space="preserve">на</w:t>
      </w:r>
      <w:r>
        <w:t xml:space="preserve"> </w:t>
      </w:r>
      <w:r>
        <w:t xml:space="preserve">регистрираните</w:t>
      </w:r>
      <w:r>
        <w:t xml:space="preserve"> </w:t>
      </w:r>
      <w:r>
        <w:t xml:space="preserve">COVID-19</w:t>
      </w:r>
      <w:r>
        <w:t xml:space="preserve"> </w:t>
      </w:r>
      <w:r>
        <w:t xml:space="preserve">случаи</w:t>
      </w:r>
    </w:p>
    <w:p>
      <w:pPr>
        <w:pStyle w:val="Author"/>
      </w:pPr>
      <w:r>
        <w:t xml:space="preserve">Кеворкян</w:t>
      </w:r>
      <w:r>
        <w:t xml:space="preserve"> </w:t>
      </w:r>
      <w:r>
        <w:t xml:space="preserve">К.,</w:t>
      </w:r>
      <w:r>
        <w:t xml:space="preserve"> </w:t>
      </w:r>
      <w:r>
        <w:t xml:space="preserve">Райчева</w:t>
      </w:r>
      <w:r>
        <w:t xml:space="preserve"> </w:t>
      </w:r>
      <w:r>
        <w:t xml:space="preserve">Р.Костадинов</w:t>
      </w:r>
      <w:r>
        <w:t xml:space="preserve"> </w:t>
      </w:r>
      <w:r>
        <w:t xml:space="preserve">К.</w:t>
      </w:r>
    </w:p>
    <w:p>
      <w:pPr>
        <w:pStyle w:val="Date"/>
      </w:pPr>
      <w:r>
        <w:t xml:space="preserve">24/03/2022</w:t>
      </w:r>
    </w:p>
    <w:bookmarkStart w:id="33" w:name="X131185c61618b660a781d67bbd4f0d6b0dec2d7"/>
    <w:p>
      <w:pPr>
        <w:pStyle w:val="Heading1"/>
      </w:pPr>
      <w:r>
        <w:t xml:space="preserve">Описателен анализ (дискриптивна статистика)</w:t>
      </w:r>
    </w:p>
    <w:bookmarkStart w:id="20" w:name="разпределние-по-възраст"/>
    <w:p>
      <w:pPr>
        <w:pStyle w:val="Heading2"/>
      </w:pPr>
      <w:r>
        <w:t xml:space="preserve">Разпределние по възраст:</w:t>
      </w:r>
    </w:p>
    <w:p>
      <w:pPr>
        <w:pStyle w:val="FirstParagraph"/>
      </w:pPr>
      <w:r>
        <w:t xml:space="preserve">В предоставения масив от данни са са налични 1 126 945 записа на официално потвърдени и регистрирани случаи с коронавирусна инфекция. Средната възраст на анализираните е 47,92 год. (SD = 19,29). Величината е нормално разпределена. Медианата на възрастта сред включените пациенти е 48 год (IQR = 29). Коефициентът на вариация на възрастта в предоставените данни е 40,26%.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iqr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1,126,945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47.921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19.294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</w:t>
            </w:r>
          </w:p>
        </w:tc>
      </w:tr>
    </w:tbl>
    <w:p>
      <w:pPr>
        <w:pStyle w:val="BodyText"/>
      </w:pPr>
      <w:r>
        <w:t xml:space="preserve">При починалите пациенти с установена коронавирусна инфекция (n = 36 192) средната възраст е 71,52 г. (SD = 11,58), като и сред тази група величината е нормално разпределена. Медианата на възрастта е 73г. (IQR = 15). В тази подгрупа коефициентът на вариация е 16%, което определя вариабилността на възрастта в групата с 24,26 процентни пункта по-малко спрямо всички инфектирани.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iqr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36,192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71.521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11.588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0.119</w:t>
            </w:r>
          </w:p>
        </w:tc>
      </w:tr>
    </w:tbl>
    <w:bookmarkEnd w:id="20"/>
    <w:bookmarkStart w:id="22" w:name="разпределние-по-пол"/>
    <w:p>
      <w:pPr>
        <w:pStyle w:val="Heading2"/>
      </w:pPr>
      <w:r>
        <w:t xml:space="preserve">Разпределние по пол: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Разпределение по пол- инфектирани" title="" id="1" name="Picture"/>
            <a:graphic>
              <a:graphicData uri="http://schemas.openxmlformats.org/drawingml/2006/picture">
                <pic:pic>
                  <pic:nvPicPr>
                    <pic:cNvPr descr="images/gender_ditro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Разпределение по пол- инфектирани</w:t>
      </w:r>
    </w:p>
    <w:p>
      <w:pPr>
        <w:pStyle w:val="BodyText"/>
      </w:pPr>
      <w:r>
        <w:t xml:space="preserve">По отношение на половото разпределние - сред инфектираните преобладават жени (n = 605 835, 53,8%), като половото съотношение мъже:жени е 0,86.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prop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605,835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521,110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46.2</w:t>
            </w:r>
          </w:p>
        </w:tc>
      </w:tr>
    </w:tbl>
    <w:p>
      <w:pPr>
        <w:pStyle w:val="BodyText"/>
      </w:pPr>
      <w:r>
        <w:t xml:space="preserve">В подгрупата на починали пациенти половото съотношение е в полза на мъжкия пол 1,24 като починалите мъже представляват 55,2 % от групата на починалите.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prop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жена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16,204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44.8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мъж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19,988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55.2</w:t>
            </w:r>
          </w:p>
        </w:tc>
      </w:tr>
    </w:tbl>
    <w:bookmarkEnd w:id="22"/>
    <w:bookmarkStart w:id="23" w:name="разпределние-по-възрастови-групи"/>
    <w:p>
      <w:pPr>
        <w:pStyle w:val="Heading2"/>
      </w:pPr>
      <w:r>
        <w:t xml:space="preserve">Разпределние по възрастови групи:</w:t>
      </w:r>
    </w:p>
    <w:p>
      <w:pPr>
        <w:pStyle w:val="FirstParagraph"/>
      </w:pPr>
      <w:r>
        <w:t xml:space="preserve">По възрастови групи, в най-голяма степен са представени инфектираните в диапазона 45-54 г. (18,3%), което отговаря напълно и на разпределнието на населението в Р.България (НСИ).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prop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56,952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81,134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25-34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150,247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35-44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195,549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45-54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206,087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55-64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190,228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65-74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151,474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75-84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77,103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85-94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17,698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 95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</w:t>
            </w:r>
          </w:p>
        </w:tc>
      </w:tr>
    </w:tbl>
    <w:p>
      <w:pPr>
        <w:pStyle w:val="BodyText"/>
      </w:pPr>
      <w:r>
        <w:t xml:space="preserve">Сред починалите, в най-голяма степен е представена възрастовата група 65-74г. (33,3%).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prop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25-34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35-44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45-54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1,991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55-64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65-74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33.3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75-84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11,567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85-94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 95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</w:tr>
    </w:tbl>
    <w:p>
      <w:pPr>
        <w:pStyle w:val="BodyText"/>
      </w:pPr>
      <w:r>
        <w:t xml:space="preserve">Интерест представлява и съотношението на починали спрямо инфектирани във всяка от възрастовите групи. Изислено е на базата на починали върху заразени * 100. Наблюдава се тренд в съотношението с нарастване на възрастта, като най-виски приръсти в това съотношение се наблюдават във възрастовите групи над 65 години.</w:t>
      </w:r>
    </w:p>
    <w:p>
      <w:pPr>
        <w:pStyle w:val="SourceCode"/>
      </w:pPr>
      <w:r>
        <w:rPr>
          <w:rStyle w:val="VerbatimChar"/>
        </w:rPr>
        <w:t xml:space="preserve">## Joining, by = "age_group"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ratio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diff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0.02633797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0.04683610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0.02049813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25-34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0.13178300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0.08494690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35-44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0.37023968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0.23845669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45-54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0.96609684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0.59585716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55-64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2.87234266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1.90624582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65-74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7.96044206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5.08809939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75-84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15.00201030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7.04156824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85-94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22.71443101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7.71242071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 95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24.73572939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2.02129838</w:t>
            </w:r>
          </w:p>
        </w:tc>
      </w:tr>
    </w:tbl>
    <w:bookmarkEnd w:id="23"/>
    <w:bookmarkStart w:id="27" w:name="двумерно-разпределние---по-възраст-и-пол"/>
    <w:p>
      <w:pPr>
        <w:pStyle w:val="Heading2"/>
      </w:pPr>
      <w:r>
        <w:t xml:space="preserve">Двумерно разпределние - по възраст и пол:</w:t>
      </w:r>
    </w:p>
    <w:p>
      <w:pPr>
        <w:pStyle w:val="FirstParagraph"/>
      </w:pPr>
      <w:r>
        <w:t xml:space="preserve">При двумерно разпределение по възраст и пол сред инфектираните се установява по-висок относителен дял на инфектираните мъже в диапазона 35-44 год., докато при женсия пол най-представена е групата на инфектирани в диапазона 45-54г.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26992  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29960   (5.7%)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42606   (7.0%)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38528   (7.4%)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25-34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77719  (12.8%)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72528  (13.9%)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35-44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101671  (16.8%)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93878  (18.0%)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45-54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112259  (18.5%)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93828  (18.0%)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55-64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105656  (17.4%)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84572  (16.2%)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65-74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84282  (13.9%)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67192  (12.9%)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75-84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43955   (7.3%)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33148   (6.4%)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85-94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10409   (1.7%)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7289   (1.4%)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 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286   (0.0%)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187   (0.0%)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605835 (100.0%)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521110 (100.0%)</w:t>
            </w:r>
          </w:p>
        </w:tc>
      </w:tr>
    </w:tbl>
    <w:p>
      <w:pPr>
        <w:pStyle w:val="BodyText"/>
      </w:pPr>
      <w:r>
        <w:t xml:space="preserve">В групата на починалите има аналогична тенденция с изместване на 2 декади в смъртността. При женския под най-висок относителен дял на починали са наблюдават в диапазона 75-84 (34,6%), докато при мъжете с най-висок относителен дял са тези починали на възраст в диапозна декада по-рано 65-74 (33,9%)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жена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мъж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7   (0.0%)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8   (0.0%)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18   (0.1%)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20   (0.1%)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25-34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78  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120   (0.6%)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35-44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244  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480   (2.4%)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45-54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651   (4.0%)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1340   (6.7%)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55-64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2142  (13.2%)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3322  (16.6%)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65-74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5292  (32.7%)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6766  (33.9%)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75-84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5605  (34.6%)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5962  (29.8%)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85-94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2107  (13.0%)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1913   (9.6%)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 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60  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57   (0.3%)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16204 (100.0%)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19988 (100.0%)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_19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_19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_19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8" w:name="разпределение-по-област"/>
    <w:p>
      <w:pPr>
        <w:pStyle w:val="Heading2"/>
      </w:pPr>
      <w:r>
        <w:t xml:space="preserve">Разпределение по област:</w:t>
      </w:r>
    </w:p>
    <w:p>
      <w:pPr>
        <w:pStyle w:val="FirstParagraph"/>
      </w:pPr>
      <w:r>
        <w:t xml:space="preserve">По отношение на областта, очаквано спрямо данните от НСИ за разпределението на населението по области най-висок относителен дял се наблюдава в област София (столица) - 25,4% регистрирани, следвани от област Пловдив 9% и област Варна 8,4%. По отношение на починалите се запазва най-високия относителен дял на област София (столица) с 12,8 %, следвана от област Пловдив 9,3%. Най-високо съотношение на леталитета (починали сред инфектирани) по области се наблюдава за Разград 6,10 %, а най-нисък за област София (столица) 1,6%.</w:t>
      </w:r>
    </w:p>
    <w:p>
      <w:pPr>
        <w:pStyle w:val="BodyText"/>
      </w:pPr>
      <w:r>
        <w:t xml:space="preserve">/// TODO карта на леталитета</w:t>
      </w:r>
    </w:p>
    <w:p>
      <w:pPr>
        <w:pStyle w:val="SourceCode"/>
      </w:pPr>
      <w:r>
        <w:rPr>
          <w:rStyle w:val="VerbatimChar"/>
        </w:rPr>
        <w:t xml:space="preserve">## Joining, by = "region"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n_infected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prop_infected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n_death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prop_death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ratio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Благоевград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49,765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2.996082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Бургас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73,863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2.283958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Варна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94,464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2.556529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Велико Търново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27,521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5.032521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Видин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10,643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5.261674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Враца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26,039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3.126080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Габрово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18,544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3.958154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Добрич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21,052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4.374881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Кърджали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5.018910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Кюстендил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20,419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4.255840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Ловеч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16,353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4.366171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Монтана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19,091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4.572835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Пазарджик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29,373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5.467606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Перник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22,240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2.922662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Плевен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32,408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4.032955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Пловдив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101,453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3,354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3.305964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Разград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10,692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6.107370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Русе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33,404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1,759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5.265836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Силистра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14,618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4.063483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Сливен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26,187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4.212014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Смолян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5.435217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София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40,013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2.869068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София (столица)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286,377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1.616401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Стара Загора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51,605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3.893034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Търговище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5.422886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Хасково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27,151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5.137932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Шумен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22,180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4.743012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Ямбол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17,133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3.764665</w:t>
            </w:r>
          </w:p>
        </w:tc>
      </w:tr>
    </w:tbl>
    <w:bookmarkEnd w:id="28"/>
    <w:bookmarkStart w:id="29" w:name="разпределение-според-хоспитализация"/>
    <w:p>
      <w:pPr>
        <w:pStyle w:val="Heading2"/>
      </w:pPr>
      <w:r>
        <w:t xml:space="preserve">Разпределение според хоспитализация:</w:t>
      </w:r>
    </w:p>
    <w:p>
      <w:pPr>
        <w:pStyle w:val="FirstParagraph"/>
      </w:pPr>
      <w:r>
        <w:t xml:space="preserve">Сред регистрираните пациенти, данни за хоспитализация е налична при 22% от случаите. Установена е асоциация между възрастовата група и съотношението на хоспитализираните пациенти. Най-висок относителен дял на хоспитализирани се установява във възрастовата група 75-84г.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hospital_treat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prop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4,836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78,340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96.6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25-34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141,600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94.2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25-34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8,647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35-44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177,284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90.7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35-44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18,265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45-54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174,385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84.6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45-54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31,702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55-64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137,930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55-64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52,298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65-74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81,476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65-74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69,998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75-84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30,164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39.1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75-84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46,939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85-94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85-94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11,683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 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 95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59.0</w:t>
            </w:r>
          </w:p>
        </w:tc>
      </w:tr>
    </w:tbl>
    <w:p>
      <w:pPr>
        <w:pStyle w:val="BodyText"/>
      </w:pPr>
      <w:r>
        <w:t xml:space="preserve">Прави впечатление, че с намаляването на възрастовата група, намалява и относителния дял на хоспитализираните с изключение на детската възраст от 0 до 14 г, който е с 5,1 процентни пункта по-висок спрямо този на възрастовата група 15-24г. Хоспитализацията при мъжете (24,1%) се установява статистически по-висока спрямо тази при жените (20.1%)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hospital_treat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prop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483,903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121,932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395,601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75.9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125,509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24.1</w:t>
            </w:r>
          </w:p>
        </w:tc>
      </w:tr>
    </w:tbl>
    <w:p>
      <w:pPr>
        <w:pStyle w:val="BodyText"/>
      </w:pPr>
      <w:r>
        <w:t xml:space="preserve">По области най-висок относителен дял на хоспитализирани се установява в Разград 40,1% и област Смолян 40,9 %</w:t>
      </w:r>
    </w:p>
    <w:p>
      <w:pPr>
        <w:pStyle w:val="BodyText"/>
      </w:pPr>
      <w:r>
        <w:t xml:space="preserve">//TODO: Карта с хоспитализирани по области</w:t>
      </w:r>
      <w:r>
        <w:t xml:space="preserve"> </w:t>
      </w:r>
      <w:r>
        <w:t xml:space="preserve">//TODO piechart по пол/област и хоспитализация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province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hospital_treat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prop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Благоевград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36,468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Благоевград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13,297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Бургас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61,472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83.2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Бургас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12,391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Варна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80,081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Варна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14,383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Велико Търново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17,884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Велико Търново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9,637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Видин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7,449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Видин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Враца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19,273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Враца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6,766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Габрово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Габрово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Добрич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17,016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Добрич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Кърджали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6,249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Кърджали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36.1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Кюстендил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14,175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69.4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Кюстендил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Ловеч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Ловеч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5,804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Монтана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67.6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Монтана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Пазарджик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20,169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Пазарджик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31.3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Перник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17,605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79.2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Перник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Плевен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25,051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77.3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Плевен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Пловдив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78,140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Пловдив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23,313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Разград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Разград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40.1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Русе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23,298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69.7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Русе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Силистра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10,372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Силистра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Сливен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17,803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Сливен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8,384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Смолян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59.1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Смолян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София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30,837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77.1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София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София (столица)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250,320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87.4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София (столица)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36,057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Стара Загора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40,863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79.2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Стара Загора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10,742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Търговище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8,101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67.2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Търговище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Хасково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18,926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69.7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Хасково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8,225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Шумен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15,549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70.1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Шумен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6,631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Ямбол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12,449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72.7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Ямбол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4,684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27.3</w:t>
            </w:r>
          </w:p>
        </w:tc>
      </w:tr>
    </w:tbl>
    <w:bookmarkEnd w:id="29"/>
    <w:bookmarkStart w:id="31" w:name="разпределение-по-ваксинационен-статус"/>
    <w:p>
      <w:pPr>
        <w:pStyle w:val="Heading2"/>
      </w:pPr>
      <w:r>
        <w:t xml:space="preserve">Разпределение по ваксинационен статус</w:t>
      </w:r>
    </w:p>
    <w:bookmarkStart w:id="30" w:name="поне-една-поставена-доза"/>
    <w:p>
      <w:pPr>
        <w:pStyle w:val="Heading3"/>
      </w:pPr>
      <w:r>
        <w:t xml:space="preserve">Поне една поставена доза</w:t>
      </w:r>
    </w:p>
    <w:p>
      <w:pPr>
        <w:pStyle w:val="FirstParagraph"/>
      </w:pPr>
      <w:r>
        <w:t xml:space="preserve">С поне една поставена доза са 26,6 % от всички регистрирани. При хоспитализираните с поне една доза са 17,6 %, което е с 5,9 процентни пунтка по-малко спрямо групата на неваксинираните (хоспитализация при 23,5%)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vax_status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hospital_treat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prop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632,658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194,570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246,846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82.4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52,871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17.6</w:t>
            </w:r>
          </w:p>
        </w:tc>
      </w:tr>
    </w:tbl>
    <w:p>
      <w:pPr>
        <w:pStyle w:val="BodyText"/>
      </w:pPr>
      <w:r>
        <w:t xml:space="preserve">С 1,1 процентни пунта ваксинацията е застъпена в по-голяма степен при инфектираните мъже (27,2%). Сред всички инфектирани спрямо ваксинационния статус преобладават неваксинираните жени (73,9%)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vax_status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prop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447,973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157,862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379,255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72.8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141,855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27.2</w:t>
            </w:r>
          </w:p>
        </w:tc>
      </w:tr>
    </w:tbl>
    <w:p>
      <w:pPr>
        <w:pStyle w:val="BodyText"/>
      </w:pPr>
      <w:r>
        <w:t xml:space="preserve">Сред инфектираните, най-висок относителен дял на неваксинирани се установява в област Монтана 83,7% и област Смолян 82,8%.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province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vax_status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prop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Благоевград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37,830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Благоевград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11,935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Бургас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Бургас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19,617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Варна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69,989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74.1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Варна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24,475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Велико Търново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22,139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80.4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Велико Търново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Видин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8,728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Видин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1,915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Враца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19,947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76.6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Враца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Габрово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14,031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75.7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Габрово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4,513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Добрич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15,764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Добрич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Кърджали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7,206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Кърджали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2,577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Кюстендил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15,391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75.4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Кюстендил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Ловеч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76.7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Ловеч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Монтана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15,986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83.7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Монтана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Пазарджик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22,926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78.1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Пазарджик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6,447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Перник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17,343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Перник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4,897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Плевен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24,574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Плевен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Пловдив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75,403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74.3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Пловдив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26,050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Разград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8,034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75.1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Разград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Русе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24,776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74.2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Русе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8,628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Силистра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11,200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76.6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Силистра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3,418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Сливен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19,371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Сливен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Смолян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10,361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Смолян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София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31,442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78.6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София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8,571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София (столица)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187,169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София (столица)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99,208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34.6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Стара Загора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40,516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Стара Загора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11,089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Търговище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78.2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Търговище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2,626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Хасково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21,164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Хасково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Шумен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16,598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Шумен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5,582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Ямбол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13,114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76.5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Ямбол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4,019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23.5</w:t>
            </w:r>
          </w:p>
        </w:tc>
      </w:tr>
    </w:tbl>
    <w:bookmarkEnd w:id="30"/>
    <w:bookmarkEnd w:id="31"/>
    <w:bookmarkStart w:id="32" w:name="X53cc841c7bf2883b2565cc4c6109455be3fd7a0"/>
    <w:p>
      <w:pPr>
        <w:pStyle w:val="Heading2"/>
      </w:pPr>
      <w:r>
        <w:t xml:space="preserve">Двумерно разпределние спрямо ваксинационен статус (поне една доза) и изход от инфекцията</w:t>
      </w:r>
    </w:p>
    <w:p>
      <w:pPr>
        <w:pStyle w:val="FirstParagraph"/>
      </w:pPr>
      <w:r>
        <w:t xml:space="preserve">Установява се асоциация между ваксинационния статус и изхода при инфектираните. Въпреки, че медианата на възрастта в групата на ваксинираните е с 3.9 години по-висока от тази на неваксинираните, починалите в тази група са с 20 % по-малко спрямо неваксинираните. Разликата между медианата на възрастта в двете групи на починали и възстановени е 25 години.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55"/>
        <w:gridCol w:w="1389"/>
        <w:gridCol w:w="2202"/>
        <w:gridCol w:w="2850"/>
        <w:gridCol w:w="1413"/>
        <w:gridCol w:w="1560"/>
        <w:gridCol w:w="1132"/>
      </w:tblGrid>
      <w:tr>
        <w:trPr>
          <w:cantSplit/>
          <w:trHeight w:val="61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Death, N = 32,620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Recovery, N = 1,094,325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Difference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vaccinated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1,126,945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2,337 (7.2%)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297,380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-20%, -20%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hospital_treat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1,126,945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31,698 (97%)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215,743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77%, 78%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1,126,945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17,442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503,668 (46%)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6.9%, 8.0%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1,126,945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 (66, 80)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 (34, 61)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25, 25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(%); Median (IQR)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Two sample test for equality of proportions; Welch Two Sample t-test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Анализ на регистрираните COVID-19 случаи</dc:title>
  <dc:creator>Кеворкян К., Райчева Р.Костадинов К.</dc:creator>
  <cp:keywords/>
  <dcterms:created xsi:type="dcterms:W3CDTF">2022-04-18T10:07:36Z</dcterms:created>
  <dcterms:modified xsi:type="dcterms:W3CDTF">2022-04-18T10:07:36Z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24/03/2022</vt:lpwstr>
  </property>
  <property fmtid="{D5CDD505-2E9C-101B-9397-08002B2CF9AE}" pid="3" name="output">
    <vt:lpwstr/>
  </property>
</Properties>
</file>