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Формат проведения аттестации: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Квалификационнае требования по специальности Аналитик приведены в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матрице квалификации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Для каждого сотрудника определен предполагаемый уровень изходя из навыков, знаний и опыта, используемых в повседневной рабочей практике сотрудников (соответствующий уровень выделен желтым).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По некоторым вопросам определить на практике текущий уровень знаний и умений специальистов оказалось затруднительным (предполагаемые уровни выделены красным и зеленым).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1) Теоретическая часть: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представляет собой блиц-опрос по теории анализа согласно перечню навыков, указанному в матрице и выделенному красным и зеленым (с целью точного определения уровня знаний по данным пунктам).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Блиц-опрос будет проводиться следующим образом: в произвольном порядке аттестующий задает вопросы из списка, сотрудник должен без подготовки устно ответить на вопрос. В ходе ответа оценивается уровень понимания теории: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L1 - первый уровень - базовые понятия и определения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L2 - второй уровень - понимание сути вопроса (определения своими словами, пояснения+ ответ на дополнительные вопросы на понимание)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L3 - третий уровень - понимание + применение (сотрудник должен рассказать, что именно и в каком виде применяется на практике)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L2 - четвертый уровень - понимание + применение + анализ (сотрудник должен перечислить другие методы/виды/подходы, а также должен указать плюсы и минусы различных подходов/практик по данному вопросу и обосновать использование той или иной практики в текущей работе)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На каждого сотрудника отводится 30 минут.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2) Практическая часть: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Сотрудник выполняет практическое задание на своем рабочем месте.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Задания зависят от направления, на котором работает сотрудник: предпроектная аналитика либо проектная аналитика.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Помимо основных критериев для оценки задания “Зачет” членам комиссии необходимо оценить уровень используемых знаний из раздела “Практика анализа”: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L1 - первый уровень - базовые понятия и определения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L2 - второй уровень - понимание сути вопроса (определения своими словами, пояснения+ ответ на дополнительные вопросы на понимание)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L3 - третий уровень - понимание + применение (сотрудник должен рассказать, что именно и в каком виде применяется на практике)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L2 - четвертый уровень - понимание + применение + анализ (сотрудник должен перечислить другие методы/виды/подходы, а также должен указать плюсы и минусы различных подходов/практик по данному вопросу и обосновать использование той или иной практики в текущей работе)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Предпроектная аналитика: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первичная обработка потенциального проекта с составлением Видения.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Задание представляет собой запрос среднего уровня сложности: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полного аналога не существует либо совпадение с функционалом аналога не превышает 50% от всего объема требуемого функционала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логике реализации имеются существенные пробелы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Вид экранов неоднозначен, достаточно много вопросов по расположению и функциям.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В зависимости от заявленного уровня квалификации нормы выполнения задания следующие:</w:t>
      </w:r>
    </w:p>
    <w:tbl>
      <w:tblPr>
        <w:tblStyle w:val="Table1"/>
        <w:bidi w:val="0"/>
        <w:tblW w:w="4686.6257668711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9.9386503067485"/>
        <w:gridCol w:w="2336.6871165644175"/>
        <w:tblGridChange w:id="0">
          <w:tblGrid>
            <w:gridCol w:w="2349.9386503067485"/>
            <w:gridCol w:w="2336.6871165644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Уровень квалификации\уровень сложности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специалист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3-5 ч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Специалист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4-6 ч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Младший специалист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5-8 ч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Задание включает в себя следующие этапы: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1) изучение запроса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2) поиск/изучение аналогов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3) составление Видения потенциального проекта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4) подсчет трудозатрат на проектную аналитику по стандартной схеме.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Критерии оценки Видения: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1) соответствие документа шаблону (порядок и наименование заполненных разделов, стилевое единство). Примечание: допускается отсутствие одного или нескольких разделов в случае, если по данным разделам информация в запросе не представлена.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2) смысловое соответствие концепции исходному запросу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3) соответствие</w:t>
      </w:r>
      <w:r w:rsidDel="00000000" w:rsidR="00000000" w:rsidRPr="00000000">
        <w:rPr>
          <w:sz w:val="20"/>
          <w:szCs w:val="20"/>
          <w:rtl w:val="0"/>
        </w:rPr>
        <w:t xml:space="preserve"> указанного аналитиком функционала и списка заинтересованных лиц данным по проекту из запроса заказчика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4) наличие оценки трудозатрат на проектную аналитику с соответствующими допущениями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5) простота и ясность вопросов с точки зрения читателя, корректность формулировок.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При выполнении всех вышеперечисленных пунктов за практическое задание должна быть выставлена оценка “Зачет”. В противном случае - “Не зачет”.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В случае, если комиссия выставляет оценку “Не зачет”, должно быть проведено разбирательство всех невыполненных пунктов при участии аттестуемого. В случае, если аттестуемый сможет защитить результаты своей работы, оценка должна быть исправлена на “Зачет”. 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В случае, если в ходе проверки у членов комиссии возникают вопросы - необходимо привлечь аттестуемого для разъяснений.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Проектная аналитика: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составление первичной версии Документа требований для блока функциональности проекта EMGS iPad.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Уровень сложности аналитики на данном проекте - высокий, однако уровень искусственно снижается до среднего путем добавления к первоначальным требованиям готовых макетов пользовательского интерфейса.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В зависимости от заявленного уровня квалификации нормы выполнения задания следующие: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4686.6257668711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9.9386503067485"/>
        <w:gridCol w:w="2336.6871165644175"/>
        <w:tblGridChange w:id="0">
          <w:tblGrid>
            <w:gridCol w:w="2349.9386503067485"/>
            <w:gridCol w:w="2336.6871165644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Уровень квалификации\уровень сложности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Старший специалист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4-6 ч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Специалист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5-7 ч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Младший специалист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60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6-8 ч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Задание включает в себя следующие этапы: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1) изучение имеющейся информации о проекте: общей концепции проекта, макетов для соответствующего блока функционала и соответствующей ему части сметы, сайта EMGS.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2) составление Документа требований</w:t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Критерии оценки Документа требований: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1) соответствие документа шаблону (порядок и наименование заполненных разделов, стилевое единство). Примечание: допускается отсутствие одного или нескольких разделов в случае, если по данным разделам информация нигде не представлена.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2) смысловое соответствие основной идеи предоставленной информации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3) соответствие приведенного аналитиком функционала (варианта использования и дополнительных описаний) предоставленной информации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4) наличие оценки трудозатрат на выполнение данной задачи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5) простота и ясность вопросов с точки зрения читателя, корректность формулировок.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При выполнении всех вышеперечисленных пунктов за практическое задание должна быть выставлена оценка “Зачет”. В противном случае - “Не зачет”.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В случае, если комиссия выставляет оценку “Не зачет”, должно быть проведено разбирательство всех невыполненных пунктов при участии аттестуемого. В случае, если аттестуемый сможет защитить результаты своей работы, оценка должна быть исправлена на “Зачет”. 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В случае, если в ходе проверки у членов комиссии возникают вопросы - необходимо привлечь аттестуемого для разъяснений.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docs.google.com/a/issart.com/spreadsheet/ccc?key=0Ap1-JiJc_FIzdC03Mng5TWFEb1dqSS1ydHlkc0FvZUE&amp;usp=drive_web#gid=1" TargetMode="External"/></Relationships>
</file>