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F4E79"/>
          <w:sz w:val="36"/>
        </w:rPr>
        <w:t>FEDTRUST</w:t>
      </w:r>
    </w:p>
    <w:p>
      <w:pPr>
        <w:spacing w:before="240"/>
        <w:jc w:val="center"/>
      </w:pPr>
      <w:r>
        <w:rPr>
          <w:rFonts w:ascii="Aptos Display" w:hAnsi="Aptos Display"/>
          <w:b/>
          <w:sz w:val="52"/>
        </w:rPr>
        <w:t>FedTrust Trustworthiness Assessment</w:t>
      </w:r>
    </w:p>
    <w:p>
      <w:pPr>
        <w:spacing w:before="200"/>
        <w:jc w:val="center"/>
      </w:pPr>
      <w:r>
        <w:rPr>
          <w:color w:val="5A5A5A"/>
          <w:sz w:val="24"/>
        </w:rPr>
        <w:t>Trustworthiness Assessment for Federated Learning Systems</w:t>
      </w:r>
    </w:p>
    <w:p>
      <w:pPr>
        <w:spacing w:before="700"/>
        <w:jc w:val="center"/>
      </w:pPr>
      <w:r>
        <w:rPr>
          <w:b/>
          <w:color w:val="800000"/>
          <w:sz w:val="28"/>
        </w:rPr>
        <w:t>OVERALL ASSESSMENT: CRITICAL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240"/>
      </w:pPr>
      <w:r>
        <w:t>Overall assessment: CRITICAL. The evaluation identified 2 findings requiring attention. The most significant findings are: Critical membership leakage.</w:t>
      </w:r>
    </w:p>
    <w:p>
      <w:pPr>
        <w:pStyle w:val="Heading1"/>
      </w:pPr>
      <w:r>
        <w:t>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800000"/>
              </w:rPr>
              <w:t>CRITICAL</w:t>
            </w:r>
          </w:p>
        </w:tc>
      </w:tr>
    </w:tbl>
    <w:p>
      <w:pPr>
        <w:pStyle w:val="Heading1"/>
      </w:pPr>
      <w:r>
        <w:t>Classification Performance</w:t>
      </w:r>
    </w:p>
    <w:p>
      <w:pPr>
        <w:spacing w:after="200"/>
      </w:pPr>
      <w:r>
        <w:t>The classification evaluation completed successfully.</w:t>
      </w:r>
    </w:p>
    <w:p>
      <w:pPr>
        <w:pStyle w:val="Heading2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Unit</w:t>
            </w:r>
          </w:p>
        </w:tc>
      </w:tr>
      <w:tr>
        <w:tc>
          <w:tcPr>
            <w:tcW w:type="dxa" w:w="3312"/>
          </w:tcPr>
          <w:p>
            <w:r>
              <w:t>Accuracy</w:t>
            </w:r>
          </w:p>
        </w:tc>
        <w:tc>
          <w:tcPr>
            <w:tcW w:type="dxa" w:w="3312"/>
          </w:tcPr>
          <w:p>
            <w:r>
              <w:t>0.800</w:t>
            </w:r>
          </w:p>
        </w:tc>
        <w:tc>
          <w:tcPr>
            <w:tcW w:type="dxa" w:w="3312"/>
          </w:tcPr>
          <w:p>
            <w:r>
              <w:t>Ratio</w:t>
            </w:r>
          </w:p>
        </w:tc>
      </w:tr>
    </w:tbl>
    <w:p>
      <w:pPr>
        <w:pStyle w:val="Heading2"/>
      </w:pPr>
      <w:r>
        <w:t>Findings</w:t>
      </w:r>
    </w:p>
    <w:p>
      <w:pPr>
        <w:pStyle w:val="ListBullet"/>
      </w:pPr>
      <w:r>
        <w:rPr>
          <w:b/>
          <w:color w:val="BF9000"/>
        </w:rPr>
        <w:t>Moderate model performance [MEDIUM]</w:t>
      </w:r>
      <w:r>
        <w:br/>
        <w:t>The model achieves acceptable but improvable predictive performance.</w:t>
      </w:r>
    </w:p>
    <w:p>
      <w:pPr>
        <w:pStyle w:val="ListBullet2"/>
      </w:pPr>
      <w:r>
        <w:rPr>
          <w:i/>
          <w:color w:val="5A5A5A"/>
        </w:rPr>
        <w:t>Evidence: Accuracy = 0.800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rPr>
          <w:b/>
          <w:color w:val="BF9000"/>
        </w:rPr>
        <w:t>Improve model performance [MEDIUM]</w:t>
      </w:r>
      <w:r>
        <w:br/>
        <w:t>Review model performance before production deployment.</w:t>
      </w:r>
    </w:p>
    <w:p>
      <w:pPr>
        <w:pStyle w:val="Heading1"/>
      </w:pPr>
      <w:r>
        <w:t>Membership Inference Privacy</w:t>
      </w:r>
    </w:p>
    <w:p>
      <w:pPr>
        <w:spacing w:after="200"/>
      </w:pPr>
      <w:r>
        <w:t>The membership_inference evaluation completed successfully.</w:t>
      </w:r>
    </w:p>
    <w:p>
      <w:pPr>
        <w:pStyle w:val="Heading2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Unit</w:t>
            </w:r>
          </w:p>
        </w:tc>
      </w:tr>
      <w:tr>
        <w:tc>
          <w:tcPr>
            <w:tcW w:type="dxa" w:w="3312"/>
          </w:tcPr>
          <w:p>
            <w:r>
              <w:t>MIA ROC-AUC</w:t>
            </w:r>
          </w:p>
        </w:tc>
        <w:tc>
          <w:tcPr>
            <w:tcW w:type="dxa" w:w="3312"/>
          </w:tcPr>
          <w:p>
            <w:r>
              <w:t>1.000</w:t>
            </w:r>
          </w:p>
        </w:tc>
        <w:tc>
          <w:tcPr>
            <w:tcW w:type="dxa" w:w="3312"/>
          </w:tcPr>
          <w:p>
            <w:r>
              <w:t>ROC-AUC</w:t>
            </w:r>
          </w:p>
        </w:tc>
      </w:tr>
    </w:tbl>
    <w:p>
      <w:pPr>
        <w:pStyle w:val="Heading2"/>
      </w:pPr>
      <w:r>
        <w:t>Findings</w:t>
      </w:r>
    </w:p>
    <w:p>
      <w:pPr>
        <w:pStyle w:val="ListBullet"/>
      </w:pPr>
      <w:r>
        <w:rPr>
          <w:b/>
          <w:color w:val="800000"/>
        </w:rPr>
        <w:t>Critical membership leakage [CRITICAL]</w:t>
      </w:r>
      <w:r>
        <w:br/>
        <w:t>The evaluation indicates that membership status can be distinguished with high effectiveness.</w:t>
      </w:r>
    </w:p>
    <w:p>
      <w:pPr>
        <w:pStyle w:val="ListBullet2"/>
      </w:pPr>
      <w:r>
        <w:rPr>
          <w:i/>
          <w:color w:val="5A5A5A"/>
        </w:rPr>
        <w:t>Evidence: MIA AUC = 1.000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rPr>
          <w:b/>
          <w:color w:val="800000"/>
        </w:rPr>
        <w:t>Improve privacy protection [CRITICAL]</w:t>
      </w:r>
      <w:r>
        <w:br/>
        <w:t>Prioritize privacy mitigation before deployment.</w:t>
      </w:r>
    </w:p>
    <w:p>
      <w:r>
        <w:rPr>
          <w:color w:val="5A5A5A"/>
          <w:sz w:val="18"/>
        </w:rPr>
        <w:t>Interpretation: The ROC curve illustrates how effectively the membership inference attack separates members from non-members. A curve closer to the upper-left region indicates stronger attack discrimination.</w:t>
      </w:r>
    </w:p>
    <w:p>
      <w:pPr>
        <w:pStyle w:val="Heading2"/>
      </w:pPr>
      <w:r>
        <w:t>Visual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4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— Membership Inference Privacy evaluation evidence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FedTrust • Trustworthiness Assessment • </w:t>
    </w: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