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7F5F2876"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bookmarkStart w:id="0" w:name="_GoBack"/>
            <w:bookmarkEnd w:id="0"/>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43710BF2" w14:textId="033C595F" w:rsidR="00BA558F" w:rsidRDefault="00BA558F" w:rsidP="00BA558F">
      <w:pPr>
        <w:pStyle w:val="Heading2"/>
      </w:pPr>
      <w:r>
        <w:lastRenderedPageBreak/>
        <w:t>Variables</w:t>
      </w:r>
    </w:p>
    <w:p w14:paraId="20879B43" w14:textId="77777777" w:rsidR="00BA558F" w:rsidRDefault="00BA558F" w:rsidP="000A2597">
      <w:pPr>
        <w:pStyle w:val="NoSpacing"/>
        <w:jc w:val="both"/>
      </w:pPr>
      <w:r>
        <w:t xml:space="preserve">Variables are places in memory that we can store a numeric value. </w:t>
      </w:r>
    </w:p>
    <w:p w14:paraId="1ADB05E4" w14:textId="064B7502" w:rsidR="00BA558F" w:rsidRDefault="00BA558F" w:rsidP="000A2597">
      <w:pPr>
        <w:pStyle w:val="NoSpacing"/>
        <w:jc w:val="both"/>
      </w:pPr>
      <w:r>
        <w:t xml:space="preserve">The variables can be assigned names and values by the user, using the </w:t>
      </w:r>
      <w:r w:rsidRPr="00BA558F">
        <w:rPr>
          <w:b/>
          <w:bCs/>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0A03024A" w14:textId="0BE186D0" w:rsidR="00E4576F" w:rsidRDefault="00E4576F" w:rsidP="000A2597">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5C3DB03" w14:textId="77777777" w:rsidR="00F37EBC" w:rsidRDefault="00F37EBC" w:rsidP="00F37EBC">
      <w:pPr>
        <w:pStyle w:val="NoSpacing"/>
      </w:pPr>
    </w:p>
    <w:p w14:paraId="56E9B609" w14:textId="77777777" w:rsidR="001A37A4" w:rsidRPr="00F37EBC" w:rsidRDefault="001A37A4"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lastRenderedPageBreak/>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59FDFA9" w14:textId="77777777" w:rsidR="001C62D1" w:rsidRDefault="001C62D1" w:rsidP="00BD44EF">
      <w:pPr>
        <w:pStyle w:val="NoSpacing"/>
      </w:pPr>
    </w:p>
    <w:p w14:paraId="629F16FE" w14:textId="56647459" w:rsidR="008A3410" w:rsidRDefault="008A3410">
      <w:r>
        <w:br w:type="page"/>
      </w:r>
    </w:p>
    <w:p w14:paraId="3F16C63B" w14:textId="1DC4224F" w:rsidR="00A43B94" w:rsidRDefault="00A43B94" w:rsidP="00A43B94">
      <w:pPr>
        <w:pStyle w:val="Heading2"/>
      </w:pPr>
      <w:r>
        <w:lastRenderedPageBreak/>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lastRenderedPageBreak/>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04435D0" w14:textId="77777777" w:rsidR="00286FE8" w:rsidRDefault="00286FE8" w:rsidP="00286FE8">
      <w:pPr>
        <w:pStyle w:val="NoSpacing"/>
      </w:pPr>
    </w:p>
    <w:p w14:paraId="0F404A4C" w14:textId="77777777" w:rsidR="00286FE8" w:rsidRDefault="00286FE8" w:rsidP="00286FE8">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0D8273B6" w14:textId="77777777" w:rsidR="009F2765" w:rsidRDefault="009F2765"/>
    <w:p w14:paraId="55A07AF3" w14:textId="19FF9999" w:rsidR="008A3410" w:rsidRDefault="008A3410">
      <w:r>
        <w:br w:type="page"/>
      </w:r>
    </w:p>
    <w:p w14:paraId="548EC6E0" w14:textId="399E8E26" w:rsidR="00CA184E" w:rsidRDefault="007325DD" w:rsidP="00F212AE">
      <w:pPr>
        <w:pStyle w:val="Heading2"/>
      </w:pPr>
      <w:r>
        <w:lastRenderedPageBreak/>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2DC09F61" w:rsidR="00B5426B"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54B2211B" w14:textId="77777777" w:rsidR="008A3410" w:rsidRDefault="008A3410" w:rsidP="008A3410">
      <w:pPr>
        <w:pStyle w:val="NoSpacing"/>
      </w:pPr>
    </w:p>
    <w:p w14:paraId="50ACDF6D" w14:textId="77777777" w:rsidR="008A3410" w:rsidRDefault="008A3410" w:rsidP="008A3410">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lastRenderedPageBreak/>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62D1"/>
    <w:rsid w:val="00214C28"/>
    <w:rsid w:val="00227A0C"/>
    <w:rsid w:val="0027174E"/>
    <w:rsid w:val="00277EA9"/>
    <w:rsid w:val="00280BF5"/>
    <w:rsid w:val="00286FE8"/>
    <w:rsid w:val="002954CA"/>
    <w:rsid w:val="002A6F07"/>
    <w:rsid w:val="002C1654"/>
    <w:rsid w:val="002C196A"/>
    <w:rsid w:val="002C7D61"/>
    <w:rsid w:val="002D0EA3"/>
    <w:rsid w:val="002D1377"/>
    <w:rsid w:val="002D2B7E"/>
    <w:rsid w:val="002D314C"/>
    <w:rsid w:val="002E49E0"/>
    <w:rsid w:val="002F2FAA"/>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7B19"/>
    <w:rsid w:val="007202EC"/>
    <w:rsid w:val="00722FA0"/>
    <w:rsid w:val="00723D94"/>
    <w:rsid w:val="00732195"/>
    <w:rsid w:val="007325DD"/>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A3410"/>
    <w:rsid w:val="008B7708"/>
    <w:rsid w:val="008C27B2"/>
    <w:rsid w:val="008F2B65"/>
    <w:rsid w:val="008F5F4F"/>
    <w:rsid w:val="00903AED"/>
    <w:rsid w:val="0090567B"/>
    <w:rsid w:val="00906DC0"/>
    <w:rsid w:val="009136ED"/>
    <w:rsid w:val="00915562"/>
    <w:rsid w:val="0092758A"/>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F926-E3E5-419F-B68C-88E03A1A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276</cp:revision>
  <cp:lastPrinted>2020-12-10T17:56:00Z</cp:lastPrinted>
  <dcterms:created xsi:type="dcterms:W3CDTF">2020-11-15T14:46:00Z</dcterms:created>
  <dcterms:modified xsi:type="dcterms:W3CDTF">2020-12-10T17:56:00Z</dcterms:modified>
</cp:coreProperties>
</file>