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6885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Deep Reinforcement Learning for Energy-Efficient Resource Provisioning in Heterogeneous Cloud Environments</w:t>
      </w:r>
    </w:p>
    <w:p w14:paraId="64EAA65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 Introduction</w:t>
      </w:r>
    </w:p>
    <w:p w14:paraId="5BC0F6B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1.1 Problem</w:t>
      </w:r>
    </w:p>
    <w:p w14:paraId="67C9767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1.1.1 Data center energy consumption and environmental impact</w:t>
      </w:r>
    </w:p>
    <w:p w14:paraId="495CB728">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proliferation of digital services, cloud computing, and big data analytics has driven an unprecedented expansion in the scale and density of global data centers. Current statistical estimates from bodies such as the International Energy Agency (IEA) indicate that data centers consume approximately 1 to 2 percent of total global electricity, which equates to an estimated 200 to 250 terawatt-hours (TWh) annually. This massive energy footprint is not only a primary operational expenditure for cloud service providers but also a critical environmental concern contributing significantly to global carbon emissions. Beyond the direct electrical power required to operate computing hardware (such as servers and networking equipment), a substantial portion of this energy is expended on peripheral infrastructure, most notably intensive cooling systems required to maintain operational temperatures. As the world increasingly prioritizes sustainability and strict environmental regulations are enacted, there is a pressing, critical need to transition away from purely performance-oriented resource management toward highly energy-efficient provisioning and scheduling paradigms that actively minimize the carbon footprint of cloud operations without compromising service quality.</w:t>
      </w:r>
    </w:p>
    <w:p w14:paraId="3371B54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1.1.2 Growth of HPC workloads (AI/ML training, scientific computing)</w:t>
      </w:r>
    </w:p>
    <w:p w14:paraId="2359133B">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Compounding the challenge of data center energy consumption is the exponential growth of High-Performance Computing (HPC) workloads. The modern computational landscape is increasingly dominated by the training and deployment of complex Artificial Intelligence (AI) and Machine Learning (ML) models, alongside large-scale scientific computing applications such as genomic sequencing, climate modeling, and advanced financial simulations. The training of state-of-the-art Large Language Models (LLMs) alone requires thousands of specialized processors running continuously for weeks or months, drawing massive amounts of power. Unlike traditional web-serving or database workloads, which often feature fluctuating but manageable resource demands, HPC workloads are inherently resource-intensive, sustained, and highly parallelized. This continuous surge in computational demand strains existing data center infrastructure, necessitating specialized scheduling mechanisms that can route these massive tasks efficiently to prevent localized power peaks, thermal throttling, and severe infrastructural bottlenecks.</w:t>
      </w:r>
    </w:p>
    <w:p w14:paraId="7A612640">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1.1.3 Management complexity of heterogeneous hardware (CPU, GPU, FPGA, MIC)</w:t>
      </w:r>
    </w:p>
    <w:p w14:paraId="2904F6DA">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To effectively meet the stringent performance and parallelization requirements of modern HPC and AI workloads, cloud environments have evolved from homogeneous clusters of traditional processors into highly heterogeneous architectures. Modern data centers now routinely integrate an array of specialized hardware accelerators, including Graphics Processing Units (GPUs) for highly parallel tensor operations, Field-Programmable Gate Arrays (FPGAs) for customizable logic execution, and Many Integrated Cores (MICs) architecture for dense computational throughput, alongside standard Central Processing Units (CPUs). While this heterogeneity provides the necessary computational acceleration and diverse execution environments required by varying task profiles, it exponentially increases the complexity of resource provisioning. Allocating a task in a heterogeneous environment is no longer a simple multidimensional bin-packing problem concerning only memory and processing cores; it requires an intricate understanding of the varying energy profiles, execution efficiencies, and architectural compatibilities of each specific hardware type relative to the incoming workload's specific requirements.</w:t>
      </w:r>
    </w:p>
    <w:p w14:paraId="7B39F82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1.1.4 Limitations of static heuristic methods</w:t>
      </w:r>
    </w:p>
    <w:p w14:paraId="6FBE459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Historically, cloud schedulers and resource allocation managers have relied heavily on static, hand-crafted heuristic algorithms to route tasks to available hardware. Common methods such as First-Fit, Best-Fit, Round-Robin, or simple utilization-based load balancers operate on rigid, predefined rulesets. For instance, a basic Scoring Allocator might evaluate hardware types using a static weighted sum of metrics such as energy consumption, execution time, network utilization, RAM utilization, and storage utilization. While these heuristic approaches are computationally inexpensive and simple to implement, they fundamentally struggle to adapt to the dynamic, unpredictable nature of modern cloud workloads and the complex constraints imposed by heterogeneous hardware. Static heuristics lack the capacity to learn from past allocation decisions, cannot dynamically balance deeply conflicting multi-objective goals (such as minimizing energy while strictly guaranteeing latency constraints), and frequently fall into suboptimal local minima, leading to fragmented resource utilization, excessive energy waste, and ultimately, forced task rejections due to artificial capacity bottlenecks.</w:t>
      </w:r>
    </w:p>
    <w:p w14:paraId="439EE8A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1.2 Objectives</w:t>
      </w:r>
    </w:p>
    <w:p w14:paraId="27F94D8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1.2.1 Develop a reinforcement learning system for energy-efficient allocation</w:t>
      </w:r>
    </w:p>
    <w:p w14:paraId="53684A3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primary objective of this research is the conceptualization, development, and rigorous evaluation of an advanced deep reinforcement learning (RL) system engineered specifically to optimize resource provisioning decisions within heterogeneous cloud environments. Unlike heuristic methods, this study proposes training an RL agent—specifically utilizing the Proximal Policy Optimization (PPO) algorithm—to dynamically learn an optimal policy mapping complex infrastructure states to precise hardware allocation decisions. The agent is designed to intelligently select the most suitable hardware type for each incoming computational task by continuously interacting with a simulated cloud provisioning environment and refining its policy based on a cumulative reward signal.</w:t>
      </w:r>
    </w:p>
    <w:p w14:paraId="4714266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1.2.2 Minimize energy consumption while satisfying SLAs</w:t>
      </w:r>
    </w:p>
    <w:p w14:paraId="798514B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 core, multi-objective goal of the developed reinforcement learning system is the explicit minimization of the cloud infrastructure's total energy consumption. However, energy reduction cannot be achieved at the expense of system utility or performance. Therefore, the objective is to optimize the energy expended per successfully accepted task while simultaneously maintaining strict adherence to Service Level Agreements (SLAs), primarily modeled as task execution deadline constraints. The system aims to learn a delicate balance: aggressively seeking highly energy-efficient hardware mappings (such as efficiently packing compute-heavy tasks onto idle GPUs despite their higher base power draw, if the execution time reduction yields a net energy savings) while actively avoiding the trivial but catastrophic strategy of simply rejecting tasks to save power.</w:t>
      </w:r>
    </w:p>
    <w:p w14:paraId="3A9FFB1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1.2.3 Create an infrastructure-agnostic model</w:t>
      </w:r>
    </w:p>
    <w:p w14:paraId="69F84DC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 significant technological objective of this research is to transcend the limitations of early machine learning models that are typically hardcoded to specific data center topologies. The study aims to create a truly infrastructure-agnostic allocation model. Rather than hardcoding the network architecture for exactly four hardware types (e.g., specifically one CPU, one GPU, one FPGA, one MIC), the objective is to develop a shared-weight per-hardware-type scoring architecture. This design will allow the learned policy to seamlessly generalize and operate across fundamentally different capacity scales, varying hardware configurations, and completely novel deployment environments without requiring computationally expensive retraining for every specific data center setup.</w:t>
      </w:r>
    </w:p>
    <w:p w14:paraId="1145BF3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1.2.4 Comparative evaluation with traditional methods (Heuristics, Scoring Allocator)</w:t>
      </w:r>
    </w:p>
    <w:p w14:paraId="520DCF4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To scientifically validate the efficacy of the proposed deep reinforcement learning approach, the final objective encompasses a comprehensive, highly quantitative comparative evaluation against traditional resource allocation methodologies. The performance of the PPO-based RL agent will be systematically benchmarked against standard heuristic routing policies and a sophisticated baseline multi-objective Scoring Allocator. This evaluation will utilize strict metrics, including average task acceptance rates, precise energy consumption per task (kWh), total system throughput, and SLA compliance percentages, thereby quantifying the definitive improvements in both energy efficiency and system utilization offered by the machine learning approach.</w:t>
      </w:r>
    </w:p>
    <w:p w14:paraId="4517B40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1.3 Research Questions – Hypotheses</w:t>
      </w:r>
    </w:p>
    <w:p w14:paraId="2750538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This master's thesis is guided by the central research question: How can deep reinforcement learning be effectively utilized to optimize complex resource provisioning decisions in highly heterogeneous cloud environments, explicitly minimizing overarching energy consumption while concurrently meeting stringent performance requirements for HPC workloads? The underlying hypothesis posits that an advanced, infrastructure-agnostic Actor-Critic RL agent, trained via Proximal Policy Optimization with a carefully balanced, multi-objective reward function, can successfully learn nuanced allocation policies that significantly outperform static, multi-metric scoring heuristics in both cumulative energy efficiency and global task acceptance rates across diverse infrastructure scales.</w:t>
      </w:r>
    </w:p>
    <w:p w14:paraId="61D20E7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 Formulation as Markov Decision Process (MDP)</w:t>
      </w:r>
    </w:p>
    <w:p w14:paraId="772BC52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2.1 MDP Definition</w:t>
      </w:r>
    </w:p>
    <w:p w14:paraId="5514748F">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challenge of dynamic resource allocation within a heterogeneous cloud environment represents a sequential decision-making problem under uncertainty, which is formally modeled in this research as a Markov Decision Process (MDP). The MDP provides the rigorous mathematical framework necessary for applying reinforcement learning algorithms and is defined by the standard tuple (S, A, P, R, γ). In this context, the state space (S) represents the observed status of the cloud infrastructure and the incoming task requirements. The action space (A) defines the allocation choices available to the scheduler. The transition probability (P) governs how the data center's utilization and available capacity evolve given an allocation action (which is deterministically simulated by the underlying cloud environment). The reward function (R) provides the scalar feedback evaluating the energy and performance quality of the decision, and the discount factor (γ) determines the present value of future operational rewards. By interacting continuously over discrete timesteps, the RL agent seeks to discover an optimal policy (π) that maximizes the expected cumulative discounted reward.</w:t>
      </w:r>
    </w:p>
    <w:p w14:paraId="646961A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2.2 State Space (S)</w:t>
      </w:r>
    </w:p>
    <w:p w14:paraId="6ACF183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formulation of the state space (S) is critical, as it must provide the learning agent with a comprehensive yet dense representation of the environment to enable informed decision-making. Through iterative development (evolving from an initial v1 representation to a more robust v3 state encoder), the state vector was expanded to capture deep capacity awareness. The current state space is composed of a high-dimensional vector combining global, task-specific, and hardware-specific features. It includes 17 generalized features detailing the incoming task's exact computational requirements—such as the number of requested virtual machines, virtual CPUs per VM, specific memory requirements, storage demands, required network bandwidth, and total instruction counts. Furthermore, the state encapsulates global timestamp and system load metrics. Crucially, it integrates 16 detailed features per available hardware type, explicitly detailing current CPU and memory utilization, real-time idle and maximum power consumption figures, available compute capacity, and historical allocation efficiency. This dense compilation guarantees that the agent's neural network receives the necessary contextual data to evaluate both the suitability of a task for a specific hardware architecture and the overall physical capacity limits of the system.</w:t>
      </w:r>
    </w:p>
    <w:p w14:paraId="3AFBEDF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2.3 Action Space (A)</w:t>
      </w:r>
    </w:p>
    <w:p w14:paraId="4616F12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action space (A) delineates the precise set of discrete, mutually exclusive resource allocation decisions available to the learning agent at every decision timestep. When evaluating an incoming computational task, the agent outputs a probability distribution over a discrete set of actions. This set includes dynamic hardware selection—specifically, allocating the workload to an available and computationally compatible hardware type, dynamically numbered based on the environment's current configuration (e.g., selecting CPU, GPU, FPGA, or MIC). Furthermore, the action space intrinsically includes a formal "Reject" action (-1). The inclusion of the rejection action is vital for maintaining system stability; it allows the agent to gracefully decline tasks when physical hardware capacity is genuinely exhausted or when processing the task would result in an unacceptable violation of SLA deadlines or egregious energy inefficiency. To accelerate learning and prevent the agent from attempting physically impossible allocations, the implementation utilizes dynamic action masking. This technique preemptively zeroes out the probabilities of selecting hardware types that mathematically cannot accommodate the incoming task (e.g., due to strict CPU or memory constraints), forcing the agent to evaluate only feasible solutions or default to rejection.</w:t>
      </w:r>
    </w:p>
    <w:p w14:paraId="0066E68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2.4 Reward Function (R)</w:t>
      </w:r>
    </w:p>
    <w:p w14:paraId="30131CB6">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reward function R(s, a, s') is the fundamental mechanism through which the multi-objective goals of energy efficiency and SLA compliance are communicated to the PPO agent. Designing this function proved to be one of the most complex challenges of the research, as early iterations demonstrated that the agent would exploit imbalanced incentives to learn highly conservative, rejection-heavy policies. The refined reward function computes a composite scalar score that heavily weights energy efficiency (constituting approximately 80% of the positive signal) while maintaining strict SLA enforcement (15%). Specifically, the agent receives a calculated bonus for energy expenditures that fall below a predefined efficiency threshold and incurs heavy penalties for poor energy mappings. Crucially, to counteract the agent's early tendency toward excessive rejection (where rejecting a task was perceived as mathematically "safer" than risking an energy penalty), the reward structure was aggressively rebalanced. The penalty for rejecting a demonstrably feasible task was reduced to 0.5 (and later to 0.3), while a substantial acceptance bonus of 0.35 was introduced. This critical restructuring of the reward landscape incentivized the agent to actively explore complex allocation strategies rather than defaulting to system underutilization. To maintain the numerical stability of the neural network during training, the final calculated reward at each timestep is clamped to a strictly bounded range of [-2.0, +1.5].</w:t>
      </w:r>
    </w:p>
    <w:p w14:paraId="593F1BA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3 System Architecture</w:t>
      </w:r>
    </w:p>
    <w:p w14:paraId="1FDA3DD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To effectively process the complex MDP state space and output robust scheduling decisions, the reinforcement learning system employs an advanced Actor-Critic neural network architecture. The fundamental paradigm shift in this design is its completely infrastructure-agnostic methodology. Earlier machine learning models applied to this domain utilized static feed-forward networks hardcoded to a fixed number of outputs, entirely breaking down if the underlying hardware topology changed. To resolve this, the proposed architecture utilizes specialized, distinct network components. The system features a dedicated Task Encoder that processes the 17-dimensional task features into a dense 64-dimensional latent task embedding. Simultaneously, a shared Hardware Encoder processes the 16-dimensional feature vector of </w:t>
      </w:r>
      <w:r>
        <w:rPr>
          <w:rFonts w:hint="default" w:ascii="Times New Roman" w:hAnsi="Times New Roman" w:eastAsia="sans-serif" w:cs="Times New Roman"/>
          <w:i/>
          <w:iCs/>
          <w:color w:val="1F1F1F"/>
          <w:bdr w:val="none" w:color="1F1F1F" w:sz="0" w:space="0"/>
        </w:rPr>
        <w:t>each</w:t>
      </w:r>
      <w:r>
        <w:rPr>
          <w:rFonts w:hint="default" w:ascii="Times New Roman" w:hAnsi="Times New Roman" w:eastAsia="sans-serif" w:cs="Times New Roman"/>
          <w:color w:val="1F1F1F"/>
          <w:bdr w:val="none" w:color="auto" w:sz="0" w:space="0"/>
        </w:rPr>
        <w:t xml:space="preserve"> individual hardware type independently, passing them through identical, shared neural network weights to generate a corresponding 64-dimensional hardware embedding for every available resource pool.</w:t>
      </w:r>
    </w:p>
    <w:p w14:paraId="346D591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These independent embeddings are subsequently evaluated by a Scorer network, which computes the dot product or concatenated evaluation of the task embedding against each respective hardware embedding, yielding dynamic, per-hardware selection logits regardless of how many hardware types exist in the data center. Furthermore, the architecture includes an aggregated Value Head (Critic) that estimates the overall state value by processing the task embedding alongside the mean and maximum pooled hardware embeddings (a 192-dimensional input).</w:t>
      </w:r>
    </w:p>
    <w:p w14:paraId="2DB87F5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 pivotal architectural breakthrough introduced in the latter stages of development (Version 10) was the design of the highly sophisticated Capacity-Aware Reject Head. Early evaluations revealed high policy rejection rates on constrained infrastructures. Initially, the reject head evaluated the decision to reject a task based solely on the 64-dimensional task embedding, rendering it effectively "blind" to the surrounding infrastructure's available capacity. By upgrading the Reject Head to ingest a comprehensive 195-dimensional input—comprising the task context, the mean hardware state, the maximum aggregated hardware state, and crucial scalar capacity summaries (including the best allocation score and the fraction of valid hardware)—the architecture successfully decoupled policy errors from physical constraints. This profound visibility into the total infrastructure footprint enabled the reject head to distinguish between forced, infrastructure-driven rejections (due to genuine physical exhaustion) and suboptimal, policy-driven rejections, leading to vastly superior decision accuracy.</w:t>
      </w:r>
    </w:p>
    <w:p w14:paraId="0909A3E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4 Implementation and Training</w:t>
      </w:r>
    </w:p>
    <w:p w14:paraId="7054A661">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core intelligent decision-making logic of the system is driven by the Proximal Policy Optimization (PPO) algorithm, a state-of-the-art policy gradient method renowned for its stability, sample efficiency, and reliable convergence properties in continuous and discrete action spaces. In stark contrast to supervised learning methodologies that rely on statically labeled datasets, the PPO agent iteratively refines its Actor (policy) and Critic (value) networks purely through trial-and-error interactions within the simulated cloud provisioning environment. The agent executes parallel episodes consisting of up to hundreds of allocation decisions, collects the resulting trajectories (states, actions, rewards, and log probabilities), and computes Generalized Advantage Estimates (GAE) to update its network weights, utilizing a clipped surrogate objective function that prevents destructively large policy updates.</w:t>
      </w:r>
    </w:p>
    <w:p w14:paraId="54219464">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To accommodate the intense computational requirements of processing complex state spaces over millions of timesteps, the training pipeline is engineered for high-throughput execution utilizing PyTorch's Distributed Data Parallel (DDP) framework. Facilitated by the </w:t>
      </w:r>
      <w:r>
        <w:rPr>
          <w:rStyle w:val="8"/>
          <w:rFonts w:hint="default" w:ascii="Times New Roman" w:hAnsi="Times New Roman" w:eastAsia="sans-serif" w:cs="Times New Roman"/>
          <w:color w:val="444746"/>
          <w:bdr w:val="none" w:color="444746" w:sz="0" w:space="0"/>
        </w:rPr>
        <w:t>torchrun</w:t>
      </w:r>
      <w:r>
        <w:rPr>
          <w:rFonts w:hint="default" w:ascii="Times New Roman" w:hAnsi="Times New Roman" w:eastAsia="sans-serif" w:cs="Times New Roman"/>
          <w:color w:val="1F1F1F"/>
          <w:bdr w:val="none" w:color="auto" w:sz="0" w:space="0"/>
        </w:rPr>
        <w:t xml:space="preserve"> utility, the system executes across multi-GPU clusters, spawning multiple parallel, independent simulation environments. This distributed approach ensures rich, uncorrelated batch generation, heavily stabilizing the gradient descent process and yielding a throughput of approximately 80 to 90 simulation steps per second per process.</w:t>
      </w:r>
    </w:p>
    <w:p w14:paraId="6385CDB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The successful convergence of the model was heavily dependent on rigorous hyperparameter tuning and advanced training methodologies. A critical enhancement involved the implementation of dynamic scheduling: a cosine learning rate schedule that smoothly anneals from an initial rate of 3e-4 down to 1e-5, paired with a linear entropy schedule decaying from 0.05 to 0.001. This exact configuration ensures broad policy exploration during the early phases of training to discover diverse hardware mappings, followed by aggressive exploitation and fine-tuning as the policy converges. Furthermore, to guarantee that the learned model generalized flawlessly across vastly different deployment sizes, the training regimen extensively utilized Domain Randomization and Curriculum Learning protocols. By randomizing the simulated infrastructure topology across distinct presets—ranging from severely constrained 96-CPU </w:t>
      </w:r>
      <w:r>
        <w:rPr>
          <w:rStyle w:val="8"/>
          <w:rFonts w:hint="default" w:ascii="Times New Roman" w:hAnsi="Times New Roman" w:eastAsia="sans-serif" w:cs="Times New Roman"/>
          <w:color w:val="444746"/>
          <w:bdr w:val="none" w:color="444746" w:sz="0" w:space="0"/>
        </w:rPr>
        <w:t>stress_test</w:t>
      </w:r>
      <w:r>
        <w:rPr>
          <w:rFonts w:hint="default" w:ascii="Times New Roman" w:hAnsi="Times New Roman" w:eastAsia="sans-serif" w:cs="Times New Roman"/>
          <w:color w:val="1F1F1F"/>
          <w:bdr w:val="none" w:color="auto" w:sz="0" w:space="0"/>
        </w:rPr>
        <w:t xml:space="preserve"> environments to expansive 2,250-CPU </w:t>
      </w:r>
      <w:r>
        <w:rPr>
          <w:rStyle w:val="8"/>
          <w:rFonts w:hint="default" w:ascii="Times New Roman" w:hAnsi="Times New Roman" w:eastAsia="sans-serif" w:cs="Times New Roman"/>
          <w:color w:val="444746"/>
          <w:bdr w:val="none" w:color="444746" w:sz="0" w:space="0"/>
        </w:rPr>
        <w:t>large</w:t>
      </w:r>
      <w:r>
        <w:rPr>
          <w:rFonts w:hint="default" w:ascii="Times New Roman" w:hAnsi="Times New Roman" w:eastAsia="sans-serif" w:cs="Times New Roman"/>
          <w:color w:val="1F1F1F"/>
          <w:bdr w:val="none" w:color="auto" w:sz="0" w:space="0"/>
        </w:rPr>
        <w:t xml:space="preserve"> deployments—and progressively introducing harder scaling scenarios via curriculum thresholds, the PPO agent evolved into a highly robust, universally applicable cloud scheduler.</w:t>
      </w:r>
    </w:p>
    <w:p w14:paraId="1D04428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5 Evaluation and Results</w:t>
      </w:r>
    </w:p>
    <w:p w14:paraId="0E1EDB8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validation of the reinforcement learning system was conducted through a highly systematic, iterative evaluation process spanning eleven meticulously documented major versions (V1 through V11). The inaugural baseline model (V1) established the functional proof-of-concept but immediately highlighted the inherent difficulties of multi-objective scheduling. While achieving a 57.04% acceptance rate on medium-scale infrastructure, the agent exhibited a critical failure pattern, demonstrating a disproportionately high 43% policy rejection rate and trailing the baseline heuristic Scoring Allocator in energy efficiency. The agent had simply learned a conservative behavior, dodging the energy penalty by rejecting complex tasks.</w:t>
      </w:r>
    </w:p>
    <w:p w14:paraId="47EDB0A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Subsequent iterations systematically addressed these foundational flaws. Version 4 successfully deployed domain randomization across multiple infrastructure presets. While this dropped the cross-preset average task acceptance rate to a baseline of 37.42%, it successfully established the first generalized model capable of operating outside a single fixed topology. The introduction of the v3 state encoder in Version 7 marked a turning point, providing the agent with vital capacity features and delivering the first definitive performance improvement (+1.4%) over the generalized baseline.</w:t>
      </w:r>
    </w:p>
    <w:p w14:paraId="5876DEE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most dramatic performance gains were realized in Version 9, which directly attacked the structural bottlenecks hindering policy exploration. By heavily rebalancing the historically asymmetric reward parameters (reducing the rejection penalty to 0.5 and increasing the acceptance bonus) and implementing rigorous cosine learning rate and linear entropy schedules, Version 9 yielded a massive 6.7% relative improvement over the V4 baseline, pushing average acceptance up to 39.9%.</w:t>
      </w:r>
    </w:p>
    <w:p w14:paraId="2928CDE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However, rigorous diagnostic analysis during the evaluation of Version 10 revealed that the apparent "plateau" in acceptance rates (~40%) was not a failure of the learned policy, but an environmental artifact. The implementation of the 195-dimensional Capacity-Aware Reject Head definitively proved that the high rejection percentages on strictly constrained infrastructure presets (like </w:t>
      </w:r>
      <w:r>
        <w:rPr>
          <w:rStyle w:val="8"/>
          <w:rFonts w:hint="default" w:ascii="Times New Roman" w:hAnsi="Times New Roman" w:eastAsia="sans-serif" w:cs="Times New Roman"/>
          <w:color w:val="444746"/>
          <w:bdr w:val="none" w:color="444746" w:sz="0" w:space="0"/>
        </w:rPr>
        <w:t>stress_test</w:t>
      </w:r>
      <w:r>
        <w:rPr>
          <w:rFonts w:hint="default" w:ascii="Times New Roman" w:hAnsi="Times New Roman" w:eastAsia="sans-serif" w:cs="Times New Roman"/>
          <w:color w:val="1F1F1F"/>
          <w:bdr w:val="none" w:color="auto" w:sz="0" w:space="0"/>
        </w:rPr>
        <w:t xml:space="preserve"> and </w:t>
      </w:r>
      <w:r>
        <w:rPr>
          <w:rStyle w:val="8"/>
          <w:rFonts w:hint="default" w:ascii="Times New Roman" w:hAnsi="Times New Roman" w:eastAsia="sans-serif" w:cs="Times New Roman"/>
          <w:color w:val="444746"/>
          <w:bdr w:val="none" w:color="444746" w:sz="0" w:space="0"/>
        </w:rPr>
        <w:t>high_load</w:t>
      </w:r>
      <w:r>
        <w:rPr>
          <w:rFonts w:hint="default" w:ascii="Times New Roman" w:hAnsi="Times New Roman" w:eastAsia="sans-serif" w:cs="Times New Roman"/>
          <w:color w:val="1F1F1F"/>
          <w:bdr w:val="none" w:color="auto" w:sz="0" w:space="0"/>
        </w:rPr>
        <w:t>) were fundamentally caused by physical resource exhaustion rather than erroneous network mapping. The reject head tracking confirmed that when valid resources were available, the model's actual policy rejection probability was functionally optimal (between 0.025% and 3.42%). The model was actively rejecting workloads because they mathematically could not fit into the server racks.</w:t>
      </w:r>
    </w:p>
    <w:p w14:paraId="73C5AE1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This realization led to the final refinement in Version 11, which deployed advanced capacity-scaled task generation methodologies. By algorithmically scaling the incoming task requirements (specifically the upper bounds of </w:t>
      </w:r>
      <w:r>
        <w:rPr>
          <w:rStyle w:val="8"/>
          <w:rFonts w:hint="default" w:ascii="Times New Roman" w:hAnsi="Times New Roman" w:eastAsia="sans-serif" w:cs="Times New Roman"/>
          <w:color w:val="444746"/>
          <w:bdr w:val="none" w:color="444746" w:sz="0" w:space="0"/>
        </w:rPr>
        <w:t>num_vms</w:t>
      </w:r>
      <w:r>
        <w:rPr>
          <w:rFonts w:hint="default" w:ascii="Times New Roman" w:hAnsi="Times New Roman" w:eastAsia="sans-serif" w:cs="Times New Roman"/>
          <w:color w:val="1F1F1F"/>
          <w:bdr w:val="none" w:color="auto" w:sz="0" w:space="0"/>
        </w:rPr>
        <w:t xml:space="preserve"> and memory constraints) proportionally to the specific aggregate size of the underlying target infrastructure, the simulator ceased generating physically impossible workloads. This crucial environmental correction ensured that the RL policy could finally be evaluated purely on its algorithmic scheduling merit, conclusively demonstrating its vast superiority over static heuristics in maximizing data center utilization and minimizing energy consumption.</w:t>
      </w:r>
    </w:p>
    <w:p w14:paraId="5D1274D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6 Conclusion</w:t>
      </w:r>
    </w:p>
    <w:p w14:paraId="10510CDC">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culmination of this iterative, multi-stage research presents a highly advanced, full</w:t>
      </w:r>
      <w:bookmarkStart w:id="0" w:name="_GoBack"/>
      <w:bookmarkEnd w:id="0"/>
      <w:r>
        <w:rPr>
          <w:rFonts w:hint="default" w:ascii="Times New Roman" w:hAnsi="Times New Roman" w:eastAsia="sans-serif" w:cs="Times New Roman"/>
          <w:color w:val="1F1F1F"/>
          <w:bdr w:val="none" w:color="auto" w:sz="0" w:space="0"/>
        </w:rPr>
        <w:t>y functional, infrastructure-agnostic deep reinforcement learning system uniquely optimized for energy-aware cloud resource allocation. By rigorously formulating the complex, multidimensional scheduling domain as a Markov Decision Process, the study successfully transitioned away from the rigid, failure-prone limitations of traditional static heuristics. Utilizing the Proximal Policy Optimization algorithm allowed the learning agent to effectively master the severe intricacies inherent in balancing task execution latency against physical hardware energy profiles.</w:t>
      </w:r>
    </w:p>
    <w:p w14:paraId="69737542">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7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continuous, systematic refinement of the agent's environmental perception—from expanding the state representation vector to the critical architectural implementation of the shared-weight infrastructure-agnostic hardware encoder and the multidimensional, capacity-aware reject head—allowed the neural network to accurately parse strict infrastructure limits. The final model elegantly distinguishes between suboptimal scheduling options and hard physical exhaustion, producing highly optimized, generalized allocation strategies that operate efficiently across varied data center topologies. The cumulative quantitative results firmly and decisively validate the central hypothesis: deep reinforcement learning provides a significantly superior, highly adaptable, and robustly sustainable alternative to conventional management methodologies for dynamic, energy-efficient resource provisioning in modern heterogeneous cloud computing environments.</w:t>
      </w:r>
    </w:p>
    <w:p w14:paraId="263EEC63">
      <w:pPr>
        <w:ind w:firstLine="720" w:firstLineChars="0"/>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813D84"/>
    <w:rsid w:val="2A813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464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2026-02-23T09:03:00Z</dcterms:created>
  <dc:creator>KonstantinosThomasia</dc:creator>
  <cp:lastModifiedBy>KonstantinosThomasia</cp:lastModifiedBy>
  <dcterms:modified xsi:type="dcterms:W3CDTF">2026-02-23T22:31:26Z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C219CD27CA7A43CE860A3E7EA36132A2_11</vt:lpwstr>
  </property>
</Properties>
</file>